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8D" w:rsidRDefault="00EC0D8D" w:rsidP="00EC0D8D">
      <w:pPr>
        <w:jc w:val="both"/>
      </w:pPr>
    </w:p>
    <w:p w:rsidR="00EC0D8D" w:rsidRDefault="00EC0D8D" w:rsidP="00EC0D8D">
      <w:pPr>
        <w:jc w:val="both"/>
      </w:pPr>
      <w:r w:rsidRPr="00C819DD">
        <w:rPr>
          <w:noProof/>
          <w:lang w:val="en-US" w:bidi="fa-IR"/>
        </w:rPr>
        <w:drawing>
          <wp:inline distT="0" distB="0" distL="0" distR="0">
            <wp:extent cx="5400040" cy="115648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1156485"/>
                    </a:xfrm>
                    <a:prstGeom prst="rect">
                      <a:avLst/>
                    </a:prstGeom>
                    <a:noFill/>
                    <a:ln>
                      <a:noFill/>
                    </a:ln>
                  </pic:spPr>
                </pic:pic>
              </a:graphicData>
            </a:graphic>
          </wp:inline>
        </w:drawing>
      </w:r>
    </w:p>
    <w:p w:rsidR="00EC0D8D" w:rsidRDefault="00EC0D8D" w:rsidP="00EC0D8D">
      <w:pPr>
        <w:jc w:val="both"/>
      </w:pPr>
      <w:r>
        <w:t>ALIMENTOS CUBA 2022/FOODS CUBA 2022</w:t>
      </w:r>
    </w:p>
    <w:p w:rsidR="00EC0D8D" w:rsidRDefault="00EC0D8D" w:rsidP="00EC0D8D">
      <w:pPr>
        <w:jc w:val="both"/>
      </w:pPr>
    </w:p>
    <w:p w:rsidR="00EC0D8D" w:rsidRDefault="00EC0D8D" w:rsidP="00EC0D8D">
      <w:pPr>
        <w:jc w:val="both"/>
      </w:pPr>
      <w:r>
        <w:t>The 3rd International Food, Beverage, Machinery, Packaging and Food Technology Fair ALIMENTOS CUBA 2022 will be held from May 24 to 26, 2022 at PABEXPO, a Fairground belonging to the Palco Business Group's Congress, Fair and Exhibition Organizing Company.</w:t>
      </w:r>
    </w:p>
    <w:p w:rsidR="00EC0D8D" w:rsidRPr="00C819DD" w:rsidRDefault="00EC0D8D" w:rsidP="00EC0D8D">
      <w:pPr>
        <w:jc w:val="both"/>
        <w:rPr>
          <w:b/>
          <w:bCs/>
        </w:rPr>
      </w:pPr>
      <w:r w:rsidRPr="00C819DD">
        <w:rPr>
          <w:b/>
          <w:bCs/>
        </w:rPr>
        <w:t>SPONSORS:</w:t>
      </w:r>
    </w:p>
    <w:p w:rsidR="00EC0D8D" w:rsidRDefault="00EC0D8D" w:rsidP="00EC0D8D">
      <w:pPr>
        <w:jc w:val="both"/>
      </w:pPr>
      <w:r>
        <w:t>• Ministry of the Food Industry</w:t>
      </w:r>
    </w:p>
    <w:p w:rsidR="00EC0D8D" w:rsidRDefault="00EC0D8D" w:rsidP="00EC0D8D">
      <w:pPr>
        <w:jc w:val="both"/>
      </w:pPr>
      <w:r>
        <w:t>• Ministry of Foreign Trade and Foreign Investment</w:t>
      </w:r>
    </w:p>
    <w:p w:rsidR="00EC0D8D" w:rsidRDefault="00EC0D8D" w:rsidP="00EC0D8D">
      <w:pPr>
        <w:jc w:val="both"/>
      </w:pPr>
      <w:r>
        <w:t>• Barcelona Fair</w:t>
      </w:r>
    </w:p>
    <w:p w:rsidR="00EC0D8D" w:rsidRDefault="00EC0D8D" w:rsidP="00EC0D8D">
      <w:pPr>
        <w:jc w:val="both"/>
      </w:pPr>
      <w:r>
        <w:t>• PALCO / PABEXPO Business Group</w:t>
      </w:r>
    </w:p>
    <w:p w:rsidR="00EC0D8D" w:rsidRDefault="00EC0D8D" w:rsidP="00EC0D8D">
      <w:pPr>
        <w:jc w:val="both"/>
      </w:pPr>
      <w:r>
        <w:t>• Chamber of Commerce of the Republic of Cuba</w:t>
      </w:r>
    </w:p>
    <w:p w:rsidR="00EC0D8D" w:rsidRDefault="00EC0D8D" w:rsidP="00EC0D8D">
      <w:pPr>
        <w:jc w:val="both"/>
      </w:pPr>
      <w:r>
        <w:t>• TEST</w:t>
      </w:r>
    </w:p>
    <w:p w:rsidR="00EC0D8D" w:rsidRPr="00C819DD" w:rsidRDefault="00EC0D8D" w:rsidP="00EC0D8D">
      <w:pPr>
        <w:jc w:val="both"/>
        <w:rPr>
          <w:b/>
          <w:bCs/>
        </w:rPr>
      </w:pPr>
      <w:r w:rsidRPr="00C819DD">
        <w:rPr>
          <w:b/>
          <w:bCs/>
        </w:rPr>
        <w:t>TOPICS:</w:t>
      </w:r>
    </w:p>
    <w:p w:rsidR="00EC0D8D" w:rsidRDefault="00EC0D8D" w:rsidP="00EC0D8D">
      <w:pPr>
        <w:jc w:val="both"/>
      </w:pPr>
      <w:r>
        <w:t>• Machinery, equipment and agri-food technology</w:t>
      </w:r>
    </w:p>
    <w:p w:rsidR="00EC0D8D" w:rsidRDefault="00EC0D8D" w:rsidP="00EC0D8D">
      <w:pPr>
        <w:jc w:val="both"/>
      </w:pPr>
      <w:r>
        <w:t>• Waters, soft drinks, beers, musts and ciders</w:t>
      </w:r>
    </w:p>
    <w:p w:rsidR="00EC0D8D" w:rsidRDefault="00EC0D8D" w:rsidP="00EC0D8D">
      <w:pPr>
        <w:jc w:val="both"/>
      </w:pPr>
      <w:r>
        <w:t>• Preserves and semi-preserves</w:t>
      </w:r>
    </w:p>
    <w:p w:rsidR="00EC0D8D" w:rsidRDefault="00EC0D8D" w:rsidP="00EC0D8D">
      <w:pPr>
        <w:jc w:val="both"/>
      </w:pPr>
      <w:r>
        <w:t>• Meat products and derivatives</w:t>
      </w:r>
    </w:p>
    <w:p w:rsidR="00EC0D8D" w:rsidRDefault="00EC0D8D" w:rsidP="00EC0D8D">
      <w:pPr>
        <w:jc w:val="both"/>
      </w:pPr>
      <w:r>
        <w:t>• Dairy products and their derivatives</w:t>
      </w:r>
    </w:p>
    <w:p w:rsidR="00EC0D8D" w:rsidRDefault="00EC0D8D" w:rsidP="00EC0D8D">
      <w:pPr>
        <w:jc w:val="both"/>
      </w:pPr>
      <w:r>
        <w:t>• Seafood, aquaculture and fish farming</w:t>
      </w:r>
    </w:p>
    <w:p w:rsidR="00EC0D8D" w:rsidRDefault="00EC0D8D" w:rsidP="00EC0D8D">
      <w:pPr>
        <w:jc w:val="both"/>
      </w:pPr>
      <w:r>
        <w:t>• Wines and spirits</w:t>
      </w:r>
    </w:p>
    <w:p w:rsidR="00EC0D8D" w:rsidRDefault="00EC0D8D" w:rsidP="00EC0D8D">
      <w:pPr>
        <w:jc w:val="both"/>
      </w:pPr>
      <w:r>
        <w:t>• Frozen products</w:t>
      </w:r>
    </w:p>
    <w:p w:rsidR="00EC0D8D" w:rsidRDefault="00EC0D8D" w:rsidP="00EC0D8D">
      <w:pPr>
        <w:jc w:val="both"/>
      </w:pPr>
      <w:r>
        <w:t>• Sweets, cookies and confectionery</w:t>
      </w:r>
    </w:p>
    <w:p w:rsidR="00EC0D8D" w:rsidRDefault="00EC0D8D" w:rsidP="00EC0D8D">
      <w:pPr>
        <w:jc w:val="both"/>
      </w:pPr>
      <w:r>
        <w:t>• Olive oil and vegetable oils</w:t>
      </w:r>
    </w:p>
    <w:p w:rsidR="00EC0D8D" w:rsidRDefault="00EC0D8D" w:rsidP="00EC0D8D">
      <w:pPr>
        <w:jc w:val="both"/>
      </w:pPr>
      <w:r>
        <w:lastRenderedPageBreak/>
        <w:t>• Fruits, vegetables and fresh vegetables</w:t>
      </w:r>
    </w:p>
    <w:p w:rsidR="00EC0D8D" w:rsidRDefault="00EC0D8D" w:rsidP="00EC0D8D">
      <w:pPr>
        <w:jc w:val="both"/>
      </w:pPr>
      <w:r>
        <w:t>•Organic products</w:t>
      </w:r>
    </w:p>
    <w:p w:rsidR="00EC0D8D" w:rsidRDefault="00EC0D8D" w:rsidP="00EC0D8D">
      <w:pPr>
        <w:jc w:val="both"/>
      </w:pPr>
      <w:r>
        <w:t>• Foodservice and food outside the home</w:t>
      </w:r>
    </w:p>
    <w:p w:rsidR="00EC0D8D" w:rsidRDefault="00EC0D8D" w:rsidP="00EC0D8D">
      <w:pPr>
        <w:jc w:val="both"/>
      </w:pPr>
    </w:p>
    <w:p w:rsidR="00EC0D8D" w:rsidRPr="00C819DD" w:rsidRDefault="00EC0D8D" w:rsidP="00EC0D8D">
      <w:pPr>
        <w:jc w:val="both"/>
        <w:rPr>
          <w:b/>
          <w:bCs/>
        </w:rPr>
      </w:pPr>
      <w:r w:rsidRPr="00C819DD">
        <w:rPr>
          <w:b/>
          <w:bCs/>
        </w:rPr>
        <w:t>SALON STRUCTURE</w:t>
      </w:r>
    </w:p>
    <w:p w:rsidR="00EC0D8D" w:rsidRDefault="00EC0D8D" w:rsidP="00EC0D8D">
      <w:pPr>
        <w:jc w:val="both"/>
      </w:pPr>
      <w:r>
        <w:t>• Exhibition area: to present products and keep up to date on the Cuban market.</w:t>
      </w:r>
    </w:p>
    <w:p w:rsidR="00EC0D8D" w:rsidRDefault="00EC0D8D" w:rsidP="00EC0D8D">
      <w:pPr>
        <w:jc w:val="both"/>
      </w:pPr>
      <w:r>
        <w:t>• Presentations and Exchange Area: product presentation, training, exchange of experience and contacts.</w:t>
      </w:r>
    </w:p>
    <w:p w:rsidR="00EC0D8D" w:rsidRDefault="00EC0D8D" w:rsidP="00EC0D8D">
      <w:pPr>
        <w:jc w:val="both"/>
      </w:pPr>
      <w:r>
        <w:t>• Investment Forum in Cuba: meeting point with buyers presenting investment projects based on the portfolio of opportunities in Cuba.</w:t>
      </w:r>
    </w:p>
    <w:p w:rsidR="00EC0D8D" w:rsidRDefault="00EC0D8D" w:rsidP="00EC0D8D">
      <w:pPr>
        <w:jc w:val="both"/>
      </w:pPr>
      <w:r>
        <w:t>• Business Rounds through the Cuban Chamber of Commerce.</w:t>
      </w:r>
    </w:p>
    <w:p w:rsidR="00EC0D8D" w:rsidRDefault="00EC0D8D" w:rsidP="00EC0D8D">
      <w:pPr>
        <w:jc w:val="both"/>
      </w:pPr>
    </w:p>
    <w:p w:rsidR="00EC0D8D" w:rsidRPr="00C819DD" w:rsidRDefault="00EC0D8D" w:rsidP="00EC0D8D">
      <w:pPr>
        <w:jc w:val="both"/>
        <w:rPr>
          <w:b/>
          <w:bCs/>
        </w:rPr>
      </w:pPr>
      <w:r w:rsidRPr="00C819DD">
        <w:rPr>
          <w:b/>
          <w:bCs/>
        </w:rPr>
        <w:t>HOW TO TAKE PART</w:t>
      </w:r>
    </w:p>
    <w:p w:rsidR="00EC0D8D" w:rsidRDefault="00EC0D8D" w:rsidP="00EC0D8D">
      <w:pPr>
        <w:jc w:val="both"/>
      </w:pPr>
      <w:r>
        <w:t>REQUEST FOR PARTICIPATION: Participation will be formalized through the Participation Contract Request form, via email rafaelalejandro@palco.cuo directly at the PABEXPO fairgrounds, as the case may be, always with no less than 20 days prior to the start of the Fair. .It is essential to acquire the status of participant in this fair that the Participation Contract Request is approved and signed by the Organizer</w:t>
      </w:r>
    </w:p>
    <w:p w:rsidR="00EC0D8D" w:rsidRDefault="00EC0D8D" w:rsidP="00EC0D8D">
      <w:pPr>
        <w:jc w:val="both"/>
      </w:pPr>
      <w:r>
        <w:t>To confirm your reservation and receive your location, the exhibitor must pay 50% of the cost of the contracted area at the time of formalizing the request. The deadline for the payment of the remaining 50% of the contracted space and services will be 20 days before the start of the Fair.</w:t>
      </w:r>
    </w:p>
    <w:p w:rsidR="00EC0D8D" w:rsidRDefault="00EC0D8D" w:rsidP="00EC0D8D">
      <w:pPr>
        <w:jc w:val="both"/>
      </w:pPr>
      <w:r>
        <w:t>In the event that the samples to be exhibited in the Interior Area have large dimensions, weight or other special characteristics, the exhibitor must notify the Organizer no less than 20 days before the start of the Fair, for its assessment and approval, in attention to the assembly specifications, coordination for access to the pavilions and requirements of the fairgrounds.</w:t>
      </w:r>
    </w:p>
    <w:p w:rsidR="00EC0D8D" w:rsidRDefault="00EC0D8D" w:rsidP="00EC0D8D">
      <w:pPr>
        <w:jc w:val="both"/>
      </w:pPr>
      <w:r>
        <w:t>All changes in the distribution of panels or any other element related to the assembly of the stands will be charged additionally, according to their complexity and proximity to the opening date of the Fair. The Organizing Committee reserves the right when it deems it convenient for the interests of the event to make changes in the location of the stands and notify the exhibitor together with the proposal for the new location.</w:t>
      </w:r>
    </w:p>
    <w:p w:rsidR="00EC0D8D" w:rsidRDefault="00EC0D8D" w:rsidP="00EC0D8D">
      <w:pPr>
        <w:jc w:val="both"/>
      </w:pPr>
      <w:r>
        <w:t>A 20% surcharge will be applied for all those services required after the processing of the original request that are already invoiced.</w:t>
      </w:r>
    </w:p>
    <w:p w:rsidR="00EC0D8D" w:rsidRDefault="00EC0D8D" w:rsidP="00EC0D8D">
      <w:pPr>
        <w:jc w:val="both"/>
      </w:pPr>
    </w:p>
    <w:p w:rsidR="00EC0D8D" w:rsidRDefault="00EC0D8D" w:rsidP="00EC0D8D">
      <w:pPr>
        <w:jc w:val="both"/>
      </w:pPr>
      <w:r>
        <w:lastRenderedPageBreak/>
        <w:t>WAIVERS OR REDUCTIONS IN PARTICIPATION: Reductions and/or resignations in the contracted space entail a penalty, even when it may be occupied by another exhibitor.</w:t>
      </w:r>
    </w:p>
    <w:p w:rsidR="00EC0D8D" w:rsidRDefault="00EC0D8D" w:rsidP="00EC0D8D">
      <w:pPr>
        <w:jc w:val="both"/>
        <w:rPr>
          <w:rFonts w:ascii="Calibri" w:hAnsi="Calibri" w:cs="Calibri"/>
        </w:rPr>
      </w:pPr>
    </w:p>
    <w:p w:rsidR="00EC0D8D" w:rsidRDefault="00EC0D8D" w:rsidP="00EC0D8D">
      <w:pPr>
        <w:jc w:val="both"/>
      </w:pPr>
      <w:r>
        <w:rPr>
          <w:rFonts w:ascii="Calibri" w:hAnsi="Calibri" w:cs="Calibri"/>
        </w:rPr>
        <w:t>- Up to 30 days before the beginning of the Fair: 50% of the total area.</w:t>
      </w:r>
    </w:p>
    <w:p w:rsidR="00EC0D8D" w:rsidRDefault="00EC0D8D" w:rsidP="00EC0D8D">
      <w:pPr>
        <w:jc w:val="both"/>
      </w:pPr>
      <w:r>
        <w:rPr>
          <w:rFonts w:ascii="Calibri" w:hAnsi="Calibri" w:cs="Calibri"/>
        </w:rPr>
        <w:t>- Up to 7 days or less before the start of the Fair: 100% of the total area.</w:t>
      </w:r>
    </w:p>
    <w:p w:rsidR="00EC0D8D" w:rsidRDefault="00EC0D8D" w:rsidP="00EC0D8D">
      <w:pPr>
        <w:jc w:val="both"/>
      </w:pPr>
    </w:p>
    <w:p w:rsidR="00EC0D8D" w:rsidRPr="00C819DD" w:rsidRDefault="00EC0D8D" w:rsidP="00EC0D8D">
      <w:pPr>
        <w:jc w:val="both"/>
        <w:rPr>
          <w:b/>
          <w:bCs/>
        </w:rPr>
      </w:pPr>
      <w:r w:rsidRPr="00C819DD">
        <w:rPr>
          <w:b/>
          <w:bCs/>
        </w:rPr>
        <w:t>RATES:</w:t>
      </w:r>
    </w:p>
    <w:p w:rsidR="00EC0D8D" w:rsidRDefault="00EC0D8D" w:rsidP="00EC0D8D">
      <w:pPr>
        <w:jc w:val="both"/>
      </w:pPr>
      <w:r>
        <w:t>1. Assembled Booth CUP3600.00/m2</w:t>
      </w:r>
    </w:p>
    <w:p w:rsidR="00EC0D8D" w:rsidRDefault="00EC0D8D" w:rsidP="00EC0D8D">
      <w:pPr>
        <w:jc w:val="both"/>
      </w:pPr>
      <w:r>
        <w:t>(FROM 9 m2) Includes: space, aluminum structure, white modular panels (2.50 x 0.90 m), carpet, sign with the name of the firm, electricity consumption up to 500 W, sample protection, credentials (depending on of the contracted area), inclusion in the official catalog (up to 15 lines). DOES NOT INCLUDE ANY FURNITURE.</w:t>
      </w:r>
    </w:p>
    <w:p w:rsidR="00EC0D8D" w:rsidRDefault="00EC0D8D" w:rsidP="00EC0D8D">
      <w:pPr>
        <w:jc w:val="both"/>
      </w:pPr>
      <w:r>
        <w:t>2. Unassembled Booth CUP2880.00/m2</w:t>
      </w:r>
    </w:p>
    <w:p w:rsidR="00EC0D8D" w:rsidRDefault="00EC0D8D" w:rsidP="00EC0D8D">
      <w:pPr>
        <w:jc w:val="both"/>
      </w:pPr>
      <w:r>
        <w:t>(FROM 9 m2) Includes: space, electricity consumption up to 500 W, sample protection, credentials (depending on the contracted area), inclusion in the official catalog (up to 15 lines)</w:t>
      </w:r>
    </w:p>
    <w:p w:rsidR="00EC0D8D" w:rsidRDefault="00EC0D8D" w:rsidP="00EC0D8D">
      <w:pPr>
        <w:jc w:val="both"/>
      </w:pPr>
      <w:r>
        <w:t>DOES NOT INCLUDE CARPET</w:t>
      </w:r>
    </w:p>
    <w:p w:rsidR="00EC0D8D" w:rsidRDefault="00EC0D8D" w:rsidP="00EC0D8D">
      <w:pPr>
        <w:jc w:val="both"/>
      </w:pPr>
      <w:r>
        <w:t>3. Unassembled Stand (special assemblies) CUP4080.00/m2</w:t>
      </w:r>
    </w:p>
    <w:p w:rsidR="00EC0D8D" w:rsidRDefault="00EC0D8D" w:rsidP="00EC0D8D">
      <w:pPr>
        <w:jc w:val="both"/>
      </w:pPr>
      <w:r>
        <w:t>(FROM 9 m2) Includes: space, electricity consumption up to 500 W, sample protection, credentials (depending on the contracted area), inclusion in the official catalog (up to 15 lines)</w:t>
      </w:r>
    </w:p>
    <w:p w:rsidR="00EC0D8D" w:rsidRDefault="00EC0D8D" w:rsidP="00EC0D8D">
      <w:pPr>
        <w:jc w:val="both"/>
      </w:pPr>
      <w:r>
        <w:t>DOES NOT INCLUDE CARPET</w:t>
      </w:r>
    </w:p>
    <w:p w:rsidR="00EC0D8D" w:rsidRDefault="00EC0D8D" w:rsidP="00EC0D8D">
      <w:pPr>
        <w:jc w:val="both"/>
      </w:pPr>
      <w:r>
        <w:t>Keep in mind that the exhibitor with rented free space must send to PABEXPO for approval the final design plus the remaining documents indicated in the general regulations of fairs, 45 days before the start of the fair in order to evaluate and authorize the construction of the stand. with the specifications required by it.</w:t>
      </w:r>
    </w:p>
    <w:p w:rsidR="00EC0D8D" w:rsidRDefault="00EC0D8D" w:rsidP="00EC0D8D">
      <w:pPr>
        <w:jc w:val="both"/>
      </w:pPr>
      <w:r>
        <w:t>PABEXPO or its construction companies will have the first option to execute them, and in the event that it is awarded to another entity or different constructor, it will be obliged to adjust to the rates, terms and conditions set by PABEXPO.</w:t>
      </w:r>
    </w:p>
    <w:p w:rsidR="00EC0D8D" w:rsidRDefault="00EC0D8D" w:rsidP="00EC0D8D">
      <w:pPr>
        <w:jc w:val="both"/>
      </w:pPr>
      <w:r>
        <w:t>HOW TO PAY?: All rates are expressed in Cuban pesos (CUP), so the exhibitor must find out about the current exchange rates in Cuba. Payments in US dollars (USD) are not accepted.</w:t>
      </w:r>
    </w:p>
    <w:p w:rsidR="00EC0D8D" w:rsidRDefault="00EC0D8D" w:rsidP="00EC0D8D">
      <w:pPr>
        <w:jc w:val="both"/>
      </w:pPr>
    </w:p>
    <w:p w:rsidR="00EC0D8D" w:rsidRDefault="00EC0D8D" w:rsidP="00EC0D8D">
      <w:pPr>
        <w:jc w:val="both"/>
      </w:pPr>
      <w:r>
        <w:t>FORM OF PAYMENT / FORM OF PAYMENT:</w:t>
      </w:r>
    </w:p>
    <w:p w:rsidR="00EC0D8D" w:rsidRDefault="00EC0D8D" w:rsidP="00EC0D8D">
      <w:pPr>
        <w:jc w:val="both"/>
      </w:pPr>
    </w:p>
    <w:p w:rsidR="00EC0D8D" w:rsidRDefault="00EC0D8D" w:rsidP="00EC0D8D">
      <w:pPr>
        <w:jc w:val="both"/>
      </w:pPr>
      <w:r>
        <w:lastRenderedPageBreak/>
        <w:t>__Efectivo / Cash __Check from the BFI, BICSA or METROPOLITANO / BFI, BICSA or METROPOLITANO Check</w:t>
      </w:r>
    </w:p>
    <w:p w:rsidR="00EC0D8D" w:rsidRDefault="00EC0D8D" w:rsidP="00EC0D8D">
      <w:pPr>
        <w:jc w:val="both"/>
      </w:pPr>
    </w:p>
    <w:p w:rsidR="00EC0D8D" w:rsidRDefault="00EC0D8D" w:rsidP="00EC0D8D">
      <w:pPr>
        <w:jc w:val="both"/>
      </w:pPr>
      <w:r>
        <w:t>__Bank Transfer / Bank Transfer __Credit Card / CreditCard</w:t>
      </w:r>
    </w:p>
    <w:p w:rsidR="00EC0D8D" w:rsidRDefault="00EC0D8D" w:rsidP="00EC0D8D">
      <w:pPr>
        <w:jc w:val="both"/>
      </w:pPr>
    </w:p>
    <w:p w:rsidR="00EC0D8D" w:rsidRDefault="00EC0D8D" w:rsidP="00EC0D8D">
      <w:pPr>
        <w:jc w:val="both"/>
      </w:pPr>
      <w:r>
        <w:t>CASH: Accepted only in Cuban pesos (CUP) / CASH: Accepted only in Cuban Pesos (CUP)</w:t>
      </w:r>
    </w:p>
    <w:p w:rsidR="00EC0D8D" w:rsidRDefault="00EC0D8D" w:rsidP="00EC0D8D">
      <w:pPr>
        <w:jc w:val="both"/>
      </w:pPr>
    </w:p>
    <w:p w:rsidR="00EC0D8D" w:rsidRDefault="00EC0D8D" w:rsidP="00EC0D8D">
      <w:pPr>
        <w:jc w:val="both"/>
      </w:pPr>
      <w:r>
        <w:t>BANK TRANSFER OR CUP CHECK/ BANK TRANSFER OR CUP CHECK:</w:t>
      </w:r>
    </w:p>
    <w:p w:rsidR="00EC0D8D" w:rsidRDefault="00EC0D8D" w:rsidP="00EC0D8D">
      <w:pPr>
        <w:jc w:val="both"/>
      </w:pPr>
      <w:r>
        <w:t>Pay to / Pay to:</w:t>
      </w:r>
    </w:p>
    <w:p w:rsidR="00EC0D8D" w:rsidRDefault="00EC0D8D" w:rsidP="00EC0D8D">
      <w:pPr>
        <w:jc w:val="both"/>
      </w:pPr>
      <w:r>
        <w:t>Account Name /AccountHolder: EES Organizing Company of Congresses, Fairs and Exhibitions</w:t>
      </w:r>
    </w:p>
    <w:p w:rsidR="00EC0D8D" w:rsidRDefault="00EC0D8D" w:rsidP="00EC0D8D">
      <w:pPr>
        <w:jc w:val="both"/>
      </w:pPr>
      <w:r>
        <w:t>Account Number / AccountNumber: 0523220047250014</w:t>
      </w:r>
    </w:p>
    <w:p w:rsidR="00EC0D8D" w:rsidRDefault="00EC0D8D" w:rsidP="00EC0D8D">
      <w:pPr>
        <w:jc w:val="both"/>
      </w:pPr>
    </w:p>
    <w:p w:rsidR="00EC0D8D" w:rsidRDefault="00EC0D8D" w:rsidP="00EC0D8D">
      <w:pPr>
        <w:jc w:val="both"/>
      </w:pPr>
      <w:r>
        <w:t>BANK TRANSFER OR CHECK/ BANK TRANSFER OR CHECK:</w:t>
      </w:r>
    </w:p>
    <w:p w:rsidR="00EC0D8D" w:rsidRDefault="00EC0D8D" w:rsidP="00EC0D8D">
      <w:pPr>
        <w:jc w:val="both"/>
      </w:pPr>
      <w:r>
        <w:t>Pay to / Pay to:</w:t>
      </w:r>
    </w:p>
    <w:p w:rsidR="00EC0D8D" w:rsidRDefault="00EC0D8D" w:rsidP="00EC0D8D">
      <w:pPr>
        <w:jc w:val="both"/>
      </w:pPr>
      <w:r>
        <w:t xml:space="preserve">Account Name / AccountHolder: </w:t>
      </w:r>
      <w:r w:rsidRPr="00C819DD">
        <w:t>Empresa Organizadora de Congresos, Ferias y Exposiciones</w:t>
      </w:r>
    </w:p>
    <w:p w:rsidR="00EC0D8D" w:rsidRDefault="00EC0D8D" w:rsidP="00EC0D8D">
      <w:pPr>
        <w:jc w:val="both"/>
      </w:pPr>
      <w:r>
        <w:t>Account Number: 0300000005628911</w:t>
      </w:r>
    </w:p>
    <w:p w:rsidR="00EC0D8D" w:rsidRDefault="00EC0D8D" w:rsidP="00EC0D8D">
      <w:pPr>
        <w:jc w:val="both"/>
      </w:pPr>
      <w:r>
        <w:t>Swift Code: BFICCUHH</w:t>
      </w:r>
    </w:p>
    <w:p w:rsidR="00EC0D8D" w:rsidRDefault="00EC0D8D" w:rsidP="00EC0D8D">
      <w:pPr>
        <w:jc w:val="both"/>
      </w:pPr>
      <w:r>
        <w:t>Bank / Bank: Banco Financiero Internacional (BFI)</w:t>
      </w:r>
    </w:p>
    <w:p w:rsidR="00EC0D8D" w:rsidRDefault="00EC0D8D" w:rsidP="00EC0D8D">
      <w:pPr>
        <w:jc w:val="both"/>
      </w:pPr>
      <w:r>
        <w:t>Bank Address / Bank Address: 5ta Ave esq. 92, Miramar, Havana, Cuba</w:t>
      </w:r>
    </w:p>
    <w:p w:rsidR="00EC0D8D" w:rsidRDefault="00EC0D8D" w:rsidP="00EC0D8D">
      <w:pPr>
        <w:jc w:val="both"/>
      </w:pPr>
    </w:p>
    <w:p w:rsidR="00EC0D8D" w:rsidRDefault="00EC0D8D" w:rsidP="00EC0D8D">
      <w:pPr>
        <w:jc w:val="both"/>
      </w:pPr>
      <w:r>
        <w:t>CREDIT CARD / CREDIT CARD:</w:t>
      </w:r>
    </w:p>
    <w:p w:rsidR="00EC0D8D" w:rsidRDefault="00EC0D8D" w:rsidP="00EC0D8D">
      <w:pPr>
        <w:jc w:val="both"/>
      </w:pPr>
      <w:r>
        <w:t>(VISA International, MASTERCARD, CABAL or BFI)</w:t>
      </w:r>
    </w:p>
    <w:p w:rsidR="00EC0D8D" w:rsidRDefault="00EC0D8D" w:rsidP="00EC0D8D">
      <w:pPr>
        <w:jc w:val="both"/>
      </w:pPr>
      <w:r>
        <w:t>Credit cards issued by Banks of the United States of America are NOT ACCEPTED</w:t>
      </w:r>
    </w:p>
    <w:p w:rsidR="00EC0D8D" w:rsidRDefault="00EC0D8D" w:rsidP="00EC0D8D">
      <w:pPr>
        <w:jc w:val="both"/>
      </w:pPr>
      <w:r>
        <w:t>Credit Cards withdrawn from US Banks ARE NOT ACCEPTED</w:t>
      </w:r>
    </w:p>
    <w:p w:rsidR="00EC0D8D" w:rsidRDefault="00EC0D8D" w:rsidP="00EC0D8D">
      <w:pPr>
        <w:jc w:val="both"/>
      </w:pPr>
    </w:p>
    <w:p w:rsidR="00EC0D8D" w:rsidRDefault="00EC0D8D" w:rsidP="00EC0D8D">
      <w:pPr>
        <w:jc w:val="both"/>
      </w:pPr>
      <w:r>
        <w:t>ACCREDITATION: The number of free credentials for exhibitors will be in correspondence with the contracted area. For each additional credential for a stand, the exhibitor must pay 960.00 CUP.</w:t>
      </w:r>
    </w:p>
    <w:p w:rsidR="00EC0D8D" w:rsidRDefault="00EC0D8D" w:rsidP="00EC0D8D">
      <w:pPr>
        <w:jc w:val="both"/>
      </w:pPr>
      <w:r>
        <w:rPr>
          <w:rFonts w:ascii="Calibri" w:hAnsi="Calibri" w:cs="Calibri"/>
        </w:rPr>
        <w:t> From 9 m² to 16 m²: 3 credentials</w:t>
      </w:r>
    </w:p>
    <w:p w:rsidR="00EC0D8D" w:rsidRDefault="00EC0D8D" w:rsidP="00EC0D8D">
      <w:pPr>
        <w:jc w:val="both"/>
      </w:pPr>
      <w:r>
        <w:rPr>
          <w:rFonts w:ascii="Calibri" w:hAnsi="Calibri" w:cs="Calibri"/>
        </w:rPr>
        <w:lastRenderedPageBreak/>
        <w:t> From 18 m² to 30 m²: 4 cre</w:t>
      </w:r>
      <w:r>
        <w:t>dentials</w:t>
      </w:r>
    </w:p>
    <w:p w:rsidR="00EC0D8D" w:rsidRDefault="00EC0D8D" w:rsidP="00EC0D8D">
      <w:pPr>
        <w:jc w:val="both"/>
      </w:pPr>
      <w:r>
        <w:rPr>
          <w:rFonts w:ascii="Calibri" w:hAnsi="Calibri" w:cs="Calibri"/>
        </w:rPr>
        <w:t> From 32 m² to 50 m²: 5 credentials</w:t>
      </w:r>
    </w:p>
    <w:p w:rsidR="00EC0D8D" w:rsidRDefault="00EC0D8D" w:rsidP="00EC0D8D">
      <w:pPr>
        <w:jc w:val="both"/>
      </w:pPr>
      <w:r>
        <w:rPr>
          <w:rFonts w:ascii="Calibri" w:hAnsi="Calibri" w:cs="Calibri"/>
        </w:rPr>
        <w:t> From 51 m² to 80 m²: 6 credentials</w:t>
      </w:r>
    </w:p>
    <w:p w:rsidR="00EC0D8D" w:rsidRDefault="00EC0D8D" w:rsidP="00EC0D8D">
      <w:pPr>
        <w:jc w:val="both"/>
      </w:pPr>
      <w:r>
        <w:rPr>
          <w:rFonts w:ascii="Calibri" w:hAnsi="Calibri" w:cs="Calibri"/>
        </w:rPr>
        <w:t> From 81 m² to 100 m²: 8 credentials</w:t>
      </w:r>
    </w:p>
    <w:p w:rsidR="00EC0D8D" w:rsidRDefault="00EC0D8D" w:rsidP="00EC0D8D">
      <w:pPr>
        <w:jc w:val="both"/>
      </w:pPr>
      <w:r>
        <w:rPr>
          <w:rFonts w:ascii="Calibri" w:hAnsi="Calibri" w:cs="Calibri"/>
        </w:rPr>
        <w:t> More than 100 m²: 10 credentials</w:t>
      </w:r>
    </w:p>
    <w:p w:rsidR="00EC0D8D" w:rsidRDefault="00EC0D8D" w:rsidP="00EC0D8D">
      <w:pPr>
        <w:jc w:val="both"/>
      </w:pPr>
    </w:p>
    <w:p w:rsidR="00EC0D8D" w:rsidRDefault="00EC0D8D" w:rsidP="00EC0D8D">
      <w:pPr>
        <w:jc w:val="both"/>
      </w:pPr>
      <w:r>
        <w:t>The credentials are personal and non-transferable and will be withdrawn in case of incorrect use, and will not be returned, so if the exhibitor wants to remain at the Fair, he will have to pay 960.00 CUC for a new credential.</w:t>
      </w:r>
    </w:p>
    <w:p w:rsidR="00EC0D8D" w:rsidRDefault="00EC0D8D" w:rsidP="00EC0D8D">
      <w:pPr>
        <w:jc w:val="both"/>
      </w:pPr>
      <w:r w:rsidRPr="004A4BBA">
        <w:rPr>
          <w:b/>
          <w:bCs/>
        </w:rPr>
        <w:t>PROFESSIONAL VISITOR</w:t>
      </w:r>
      <w:r>
        <w:t>: Businessmen, entrepreneurs, buyers, professionals and those interested in visiting the Fair may be accredited as professional visitors at a cost of 2400.00 CUP; This accreditation includes: the right to visit the Fair every day, a catalog of exhibitors, participation in official activities such as the opening ceremony and award ceremony, and making business contacts.</w:t>
      </w:r>
    </w:p>
    <w:p w:rsidR="00EC0D8D" w:rsidRDefault="00EC0D8D" w:rsidP="00EC0D8D">
      <w:pPr>
        <w:jc w:val="both"/>
      </w:pPr>
      <w:r w:rsidRPr="004A4BBA">
        <w:rPr>
          <w:b/>
          <w:bCs/>
        </w:rPr>
        <w:t>ASSEMBLY:</w:t>
      </w:r>
      <w:r>
        <w:t xml:space="preserve"> The assembly of the stands will be carried out based on the design or scheme presented by the exhibitor and approved by the Organizing Committee, otherwise no type of claim will be accepted. The assembly system used by PABEXPO is modular with standard measurements in its elements, so any design that involves cutting or transforming them will imply an additional cost.</w:t>
      </w:r>
    </w:p>
    <w:p w:rsidR="00EC0D8D" w:rsidRDefault="00EC0D8D" w:rsidP="00EC0D8D">
      <w:pPr>
        <w:jc w:val="both"/>
      </w:pPr>
      <w:r w:rsidRPr="004A4BBA">
        <w:rPr>
          <w:b/>
          <w:bCs/>
        </w:rPr>
        <w:t>ASSEMBLY RIGHTS:</w:t>
      </w:r>
      <w:r>
        <w:t xml:space="preserve"> Companies and individuals who work in decoration and/or assembly must pay a fee of 1,200.00 CUP per credential and in the case of special assemblies, 2,880.00 CUP. The credentials for assembly and disassembly will only give access to the Room of the Precinct indicated therein and during these stages. The improper use of them empowers the authorities of the Fair to withdraw them and prohibit the entry of the people involved.</w:t>
      </w:r>
    </w:p>
    <w:p w:rsidR="00EC0D8D" w:rsidRDefault="00EC0D8D" w:rsidP="00EC0D8D">
      <w:pPr>
        <w:jc w:val="both"/>
      </w:pPr>
    </w:p>
    <w:p w:rsidR="00EC0D8D" w:rsidRDefault="00EC0D8D" w:rsidP="00EC0D8D">
      <w:pPr>
        <w:jc w:val="both"/>
      </w:pPr>
      <w:r>
        <w:t>The hours and days of the assembly stage are those set by the Organizing Committee and when it is exceptionally required to extend them due to the needs of the exhibitors, the additional time will be billed according to the established rates. At all times, the request for additional time will be communicated to the Organizer no less than 24 hours before the date on which you wish to work outside the established hours.</w:t>
      </w:r>
    </w:p>
    <w:p w:rsidR="00EC0D8D" w:rsidRDefault="00EC0D8D" w:rsidP="00EC0D8D">
      <w:pPr>
        <w:jc w:val="both"/>
      </w:pPr>
    </w:p>
    <w:p w:rsidR="00EC0D8D" w:rsidRDefault="00EC0D8D" w:rsidP="00EC0D8D">
      <w:pPr>
        <w:jc w:val="both"/>
      </w:pPr>
      <w:r w:rsidRPr="004A4BBA">
        <w:rPr>
          <w:b/>
          <w:bCs/>
        </w:rPr>
        <w:t>OFFICIAL CATALOG:</w:t>
      </w:r>
      <w:r>
        <w:t xml:space="preserve"> The Fair publishes an official catalog of its exhibitors that includes all the exhibiting firms in alphabetical order by country and by classification of the products on display, as the case may be. The exhibitor has the right to include up to 15 lines of text in the products and/or services of his company.</w:t>
      </w:r>
    </w:p>
    <w:p w:rsidR="00EC0D8D" w:rsidRDefault="00EC0D8D" w:rsidP="00EC0D8D">
      <w:pPr>
        <w:jc w:val="both"/>
      </w:pPr>
    </w:p>
    <w:p w:rsidR="00EC0D8D" w:rsidRDefault="00EC0D8D" w:rsidP="00EC0D8D">
      <w:pPr>
        <w:jc w:val="both"/>
      </w:pPr>
      <w:r>
        <w:lastRenderedPageBreak/>
        <w:t>Attention must be paid to the information to be published, since the information used will be that which comes exclusively from the data provided by the exhibitors, must be delivered in digital or printed format and clearly written. The Organizing Committee is not responsible for errors or omissions and will make the necessary arrangements in those cases that do not correspond to the form and style of the Catalog.</w:t>
      </w:r>
    </w:p>
    <w:p w:rsidR="00EC0D8D" w:rsidRDefault="00EC0D8D" w:rsidP="00EC0D8D">
      <w:pPr>
        <w:jc w:val="both"/>
      </w:pPr>
    </w:p>
    <w:p w:rsidR="00EC0D8D" w:rsidRDefault="00EC0D8D" w:rsidP="00EC0D8D">
      <w:pPr>
        <w:jc w:val="both"/>
      </w:pPr>
      <w:r>
        <w:t>The exhibitor will also have the possibility of including advertisements in this catalog, according to the established rate. The originals must be sent to the Organizer ready for printing (final art), in PDF format and dimensions of 16 x 22 cm.</w:t>
      </w:r>
    </w:p>
    <w:p w:rsidR="00EC0D8D" w:rsidRDefault="00EC0D8D" w:rsidP="00EC0D8D">
      <w:pPr>
        <w:jc w:val="both"/>
      </w:pPr>
    </w:p>
    <w:p w:rsidR="00EC0D8D" w:rsidRDefault="00EC0D8D" w:rsidP="00EC0D8D">
      <w:pPr>
        <w:jc w:val="both"/>
      </w:pPr>
      <w:r>
        <w:t>The deadline for sending information from the official catalog as well as for advertisements is 24 days before the start of the Fair.</w:t>
      </w:r>
    </w:p>
    <w:p w:rsidR="00EC0D8D" w:rsidRDefault="00EC0D8D" w:rsidP="00EC0D8D">
      <w:pPr>
        <w:jc w:val="both"/>
      </w:pPr>
    </w:p>
    <w:p w:rsidR="00EC0D8D" w:rsidRDefault="00EC0D8D" w:rsidP="00EC0D8D">
      <w:pPr>
        <w:jc w:val="both"/>
      </w:pPr>
      <w:r w:rsidRPr="004A4BBA">
        <w:rPr>
          <w:b/>
          <w:bCs/>
        </w:rPr>
        <w:t>SAMPLES TO EXHIBIT:</w:t>
      </w:r>
      <w:r>
        <w:t xml:space="preserve"> The PALCO Freight Forwarding Agency is the official agent of the fair for freight forwarding services and customs clearance. You can obtain all the information regarding the terms of arrival of merchandise and documents necessary for dispatch through:</w:t>
      </w:r>
    </w:p>
    <w:p w:rsidR="00EC0D8D" w:rsidRDefault="00EC0D8D" w:rsidP="00EC0D8D">
      <w:pPr>
        <w:jc w:val="both"/>
      </w:pPr>
      <w:r>
        <w:rPr>
          <w:rFonts w:ascii="Calibri" w:hAnsi="Calibri" w:cs="Calibri"/>
        </w:rPr>
        <w:t> Forwarding Agency PALCO</w:t>
      </w:r>
    </w:p>
    <w:p w:rsidR="00EC0D8D" w:rsidRDefault="00EC0D8D" w:rsidP="00EC0D8D">
      <w:pPr>
        <w:jc w:val="both"/>
      </w:pPr>
      <w:r>
        <w:t>Calle 180 corner 15 Rpt. Siboney, Beach</w:t>
      </w:r>
    </w:p>
    <w:p w:rsidR="00EC0D8D" w:rsidRDefault="00EC0D8D" w:rsidP="00EC0D8D">
      <w:pPr>
        <w:jc w:val="both"/>
      </w:pPr>
      <w:r>
        <w:t>PO Box 16046, Havana, Cuba</w:t>
      </w:r>
    </w:p>
    <w:p w:rsidR="00EC0D8D" w:rsidRDefault="00EC0D8D" w:rsidP="00EC0D8D">
      <w:pPr>
        <w:jc w:val="both"/>
      </w:pPr>
      <w:r>
        <w:t>Telephone: (53) 7271 3669. E-mail: lianetfernandez@palco.cu</w:t>
      </w:r>
    </w:p>
    <w:p w:rsidR="00EC0D8D" w:rsidRDefault="00EC0D8D" w:rsidP="00EC0D8D">
      <w:pPr>
        <w:jc w:val="both"/>
      </w:pPr>
    </w:p>
    <w:p w:rsidR="00EC0D8D" w:rsidRDefault="00EC0D8D" w:rsidP="00EC0D8D">
      <w:pPr>
        <w:jc w:val="both"/>
      </w:pPr>
      <w:r w:rsidRPr="004A4BBA">
        <w:rPr>
          <w:b/>
          <w:bCs/>
        </w:rPr>
        <w:t>VISAS:</w:t>
      </w:r>
      <w:r>
        <w:t xml:space="preserve"> Exhibitors and participants can travel to Cuba with a tourist card that can be purchased at the Cuban consulates in their respective countries.</w:t>
      </w:r>
    </w:p>
    <w:p w:rsidR="00EC0D8D" w:rsidRDefault="00EC0D8D" w:rsidP="00EC0D8D">
      <w:pPr>
        <w:jc w:val="both"/>
        <w:rPr>
          <w:b/>
          <w:bCs/>
        </w:rPr>
      </w:pPr>
      <w:r w:rsidRPr="004A4BBA">
        <w:rPr>
          <w:b/>
          <w:bCs/>
        </w:rPr>
        <w:t>IMPORTANT DEADLINES TO BE TAKEN INTO ACCOUNT BY EXHIBITORS</w:t>
      </w:r>
    </w:p>
    <w:tbl>
      <w:tblPr>
        <w:tblStyle w:val="TableGrid"/>
        <w:tblW w:w="0" w:type="auto"/>
        <w:tblLook w:val="04A0"/>
      </w:tblPr>
      <w:tblGrid>
        <w:gridCol w:w="4322"/>
        <w:gridCol w:w="4322"/>
      </w:tblGrid>
      <w:tr w:rsidR="00EC0D8D" w:rsidTr="006A24D7">
        <w:tc>
          <w:tcPr>
            <w:tcW w:w="4322" w:type="dxa"/>
          </w:tcPr>
          <w:p w:rsidR="00EC0D8D" w:rsidRDefault="00EC0D8D" w:rsidP="006A24D7">
            <w:pPr>
              <w:jc w:val="both"/>
              <w:rPr>
                <w:b/>
                <w:bCs/>
              </w:rPr>
            </w:pPr>
            <w:r>
              <w:t>Application for the Participation Contract (if capacity exists)</w:t>
            </w:r>
          </w:p>
        </w:tc>
        <w:tc>
          <w:tcPr>
            <w:tcW w:w="4322" w:type="dxa"/>
          </w:tcPr>
          <w:p w:rsidR="00EC0D8D" w:rsidRDefault="00EC0D8D" w:rsidP="006A24D7">
            <w:pPr>
              <w:jc w:val="both"/>
            </w:pPr>
            <w:r>
              <w:t>April 19, 2022</w:t>
            </w:r>
          </w:p>
          <w:p w:rsidR="00EC0D8D" w:rsidRPr="004A4BBA" w:rsidRDefault="00EC0D8D" w:rsidP="006A24D7">
            <w:pPr>
              <w:jc w:val="both"/>
            </w:pPr>
          </w:p>
        </w:tc>
      </w:tr>
      <w:tr w:rsidR="00EC0D8D" w:rsidTr="006A24D7">
        <w:tc>
          <w:tcPr>
            <w:tcW w:w="4322" w:type="dxa"/>
          </w:tcPr>
          <w:p w:rsidR="00EC0D8D" w:rsidRDefault="00EC0D8D" w:rsidP="006A24D7">
            <w:pPr>
              <w:jc w:val="both"/>
            </w:pPr>
            <w:r>
              <w:t>Payment of 50% of the contracted stand</w:t>
            </w:r>
          </w:p>
        </w:tc>
        <w:tc>
          <w:tcPr>
            <w:tcW w:w="4322" w:type="dxa"/>
          </w:tcPr>
          <w:p w:rsidR="00EC0D8D" w:rsidRDefault="00EC0D8D" w:rsidP="006A24D7">
            <w:pPr>
              <w:jc w:val="both"/>
            </w:pPr>
            <w:r>
              <w:t>Upon delivery of the Participation Contract</w:t>
            </w:r>
          </w:p>
        </w:tc>
      </w:tr>
      <w:tr w:rsidR="00EC0D8D" w:rsidTr="006A24D7">
        <w:tc>
          <w:tcPr>
            <w:tcW w:w="4322" w:type="dxa"/>
          </w:tcPr>
          <w:p w:rsidR="00EC0D8D" w:rsidRDefault="00EC0D8D" w:rsidP="006A24D7">
            <w:pPr>
              <w:jc w:val="both"/>
            </w:pPr>
            <w:r>
              <w:t>Payment of the remaining 50%, furniture / services</w:t>
            </w:r>
          </w:p>
        </w:tc>
        <w:tc>
          <w:tcPr>
            <w:tcW w:w="4322" w:type="dxa"/>
          </w:tcPr>
          <w:p w:rsidR="00EC0D8D" w:rsidRDefault="00EC0D8D" w:rsidP="006A24D7">
            <w:pPr>
              <w:jc w:val="both"/>
            </w:pPr>
            <w:r>
              <w:t>May 6, 2022</w:t>
            </w:r>
          </w:p>
          <w:p w:rsidR="00EC0D8D" w:rsidRDefault="00EC0D8D" w:rsidP="006A24D7">
            <w:pPr>
              <w:jc w:val="both"/>
            </w:pPr>
          </w:p>
        </w:tc>
      </w:tr>
      <w:tr w:rsidR="00EC0D8D" w:rsidTr="006A24D7">
        <w:tc>
          <w:tcPr>
            <w:tcW w:w="4322" w:type="dxa"/>
          </w:tcPr>
          <w:p w:rsidR="00EC0D8D" w:rsidRDefault="00EC0D8D" w:rsidP="006A24D7">
            <w:pPr>
              <w:jc w:val="both"/>
            </w:pPr>
            <w:r>
              <w:t>Sending advertisements</w:t>
            </w:r>
          </w:p>
          <w:p w:rsidR="00EC0D8D" w:rsidRDefault="00EC0D8D" w:rsidP="006A24D7">
            <w:pPr>
              <w:jc w:val="both"/>
            </w:pPr>
          </w:p>
        </w:tc>
        <w:tc>
          <w:tcPr>
            <w:tcW w:w="4322" w:type="dxa"/>
          </w:tcPr>
          <w:p w:rsidR="00EC0D8D" w:rsidRDefault="00EC0D8D" w:rsidP="006A24D7">
            <w:pPr>
              <w:jc w:val="both"/>
            </w:pPr>
            <w:r>
              <w:t>April 19, 2022</w:t>
            </w:r>
          </w:p>
          <w:p w:rsidR="00EC0D8D" w:rsidRDefault="00EC0D8D" w:rsidP="006A24D7">
            <w:pPr>
              <w:jc w:val="both"/>
            </w:pPr>
          </w:p>
        </w:tc>
      </w:tr>
      <w:tr w:rsidR="00EC0D8D" w:rsidTr="006A24D7">
        <w:tc>
          <w:tcPr>
            <w:tcW w:w="4322" w:type="dxa"/>
          </w:tcPr>
          <w:p w:rsidR="00EC0D8D" w:rsidRDefault="00EC0D8D" w:rsidP="006A24D7">
            <w:pPr>
              <w:jc w:val="both"/>
            </w:pPr>
            <w:r>
              <w:t>Booth Design Submission</w:t>
            </w:r>
          </w:p>
          <w:p w:rsidR="00EC0D8D" w:rsidRDefault="00EC0D8D" w:rsidP="006A24D7">
            <w:pPr>
              <w:jc w:val="both"/>
            </w:pPr>
          </w:p>
        </w:tc>
        <w:tc>
          <w:tcPr>
            <w:tcW w:w="4322" w:type="dxa"/>
          </w:tcPr>
          <w:p w:rsidR="00EC0D8D" w:rsidRDefault="00EC0D8D" w:rsidP="006A24D7">
            <w:pPr>
              <w:jc w:val="both"/>
            </w:pPr>
            <w:r>
              <w:t>April 19, 2022</w:t>
            </w:r>
          </w:p>
          <w:p w:rsidR="00EC0D8D" w:rsidRDefault="00EC0D8D" w:rsidP="006A24D7">
            <w:pPr>
              <w:jc w:val="both"/>
            </w:pPr>
          </w:p>
        </w:tc>
      </w:tr>
      <w:tr w:rsidR="00EC0D8D" w:rsidTr="006A24D7">
        <w:tc>
          <w:tcPr>
            <w:tcW w:w="4322" w:type="dxa"/>
          </w:tcPr>
          <w:p w:rsidR="00EC0D8D" w:rsidRDefault="00EC0D8D" w:rsidP="006A24D7">
            <w:pPr>
              <w:jc w:val="both"/>
            </w:pPr>
            <w:r>
              <w:t>Arrival of goods by sea</w:t>
            </w:r>
          </w:p>
          <w:p w:rsidR="00EC0D8D" w:rsidRDefault="00EC0D8D" w:rsidP="006A24D7">
            <w:pPr>
              <w:jc w:val="both"/>
            </w:pPr>
          </w:p>
        </w:tc>
        <w:tc>
          <w:tcPr>
            <w:tcW w:w="4322" w:type="dxa"/>
          </w:tcPr>
          <w:p w:rsidR="00EC0D8D" w:rsidRDefault="00EC0D8D" w:rsidP="006A24D7">
            <w:pPr>
              <w:jc w:val="both"/>
            </w:pPr>
            <w:r>
              <w:t>April 25, 2022</w:t>
            </w:r>
          </w:p>
          <w:p w:rsidR="00EC0D8D" w:rsidRDefault="00EC0D8D" w:rsidP="006A24D7">
            <w:pPr>
              <w:jc w:val="both"/>
            </w:pPr>
          </w:p>
        </w:tc>
      </w:tr>
      <w:tr w:rsidR="00EC0D8D" w:rsidTr="006A24D7">
        <w:tc>
          <w:tcPr>
            <w:tcW w:w="4322" w:type="dxa"/>
          </w:tcPr>
          <w:p w:rsidR="00EC0D8D" w:rsidRDefault="00EC0D8D" w:rsidP="006A24D7">
            <w:pPr>
              <w:jc w:val="both"/>
            </w:pPr>
            <w:r>
              <w:t>Arrival of goods by air</w:t>
            </w:r>
          </w:p>
          <w:p w:rsidR="00EC0D8D" w:rsidRDefault="00EC0D8D" w:rsidP="006A24D7">
            <w:pPr>
              <w:jc w:val="both"/>
            </w:pPr>
          </w:p>
        </w:tc>
        <w:tc>
          <w:tcPr>
            <w:tcW w:w="4322" w:type="dxa"/>
          </w:tcPr>
          <w:p w:rsidR="00EC0D8D" w:rsidRDefault="00EC0D8D" w:rsidP="006A24D7">
            <w:pPr>
              <w:jc w:val="both"/>
            </w:pPr>
            <w:r>
              <w:t>May 12, 2022</w:t>
            </w:r>
          </w:p>
          <w:p w:rsidR="00EC0D8D" w:rsidRDefault="00EC0D8D" w:rsidP="006A24D7">
            <w:pPr>
              <w:jc w:val="both"/>
            </w:pPr>
          </w:p>
        </w:tc>
      </w:tr>
      <w:tr w:rsidR="00EC0D8D" w:rsidTr="006A24D7">
        <w:tc>
          <w:tcPr>
            <w:tcW w:w="4322" w:type="dxa"/>
          </w:tcPr>
          <w:p w:rsidR="00EC0D8D" w:rsidRDefault="00EC0D8D" w:rsidP="006A24D7">
            <w:pPr>
              <w:jc w:val="both"/>
            </w:pPr>
            <w:r>
              <w:lastRenderedPageBreak/>
              <w:t xml:space="preserve">Start of assembly </w:t>
            </w:r>
          </w:p>
          <w:p w:rsidR="00EC0D8D" w:rsidRDefault="00EC0D8D" w:rsidP="006A24D7">
            <w:pPr>
              <w:jc w:val="both"/>
            </w:pPr>
          </w:p>
        </w:tc>
        <w:tc>
          <w:tcPr>
            <w:tcW w:w="4322" w:type="dxa"/>
          </w:tcPr>
          <w:p w:rsidR="00EC0D8D" w:rsidRDefault="00EC0D8D" w:rsidP="006A24D7">
            <w:pPr>
              <w:jc w:val="both"/>
            </w:pPr>
            <w:r>
              <w:t>May 12, 2022</w:t>
            </w:r>
          </w:p>
        </w:tc>
      </w:tr>
      <w:tr w:rsidR="00EC0D8D" w:rsidTr="006A24D7">
        <w:tc>
          <w:tcPr>
            <w:tcW w:w="4322" w:type="dxa"/>
          </w:tcPr>
          <w:p w:rsidR="00EC0D8D" w:rsidRDefault="00EC0D8D" w:rsidP="006A24D7">
            <w:pPr>
              <w:jc w:val="both"/>
            </w:pPr>
            <w:r>
              <w:t>Delivery of modular stands to exhibitors</w:t>
            </w:r>
          </w:p>
          <w:p w:rsidR="00EC0D8D" w:rsidRDefault="00EC0D8D" w:rsidP="006A24D7">
            <w:pPr>
              <w:jc w:val="both"/>
            </w:pPr>
          </w:p>
        </w:tc>
        <w:tc>
          <w:tcPr>
            <w:tcW w:w="4322" w:type="dxa"/>
          </w:tcPr>
          <w:p w:rsidR="00EC0D8D" w:rsidRDefault="00EC0D8D" w:rsidP="006A24D7">
            <w:pPr>
              <w:jc w:val="both"/>
            </w:pPr>
            <w:r>
              <w:t>May 20, 2022</w:t>
            </w:r>
          </w:p>
          <w:p w:rsidR="00EC0D8D" w:rsidRDefault="00EC0D8D" w:rsidP="006A24D7">
            <w:pPr>
              <w:jc w:val="both"/>
            </w:pPr>
          </w:p>
        </w:tc>
      </w:tr>
      <w:tr w:rsidR="00EC0D8D" w:rsidTr="006A24D7">
        <w:tc>
          <w:tcPr>
            <w:tcW w:w="4322" w:type="dxa"/>
          </w:tcPr>
          <w:p w:rsidR="00EC0D8D" w:rsidRDefault="00EC0D8D" w:rsidP="006A24D7">
            <w:pPr>
              <w:jc w:val="both"/>
            </w:pPr>
            <w:r>
              <w:t>FAIR session</w:t>
            </w:r>
          </w:p>
        </w:tc>
        <w:tc>
          <w:tcPr>
            <w:tcW w:w="4322" w:type="dxa"/>
          </w:tcPr>
          <w:p w:rsidR="00EC0D8D" w:rsidRDefault="00EC0D8D" w:rsidP="006A24D7">
            <w:pPr>
              <w:jc w:val="both"/>
            </w:pPr>
            <w:r>
              <w:t>May 24 to 26, 2022</w:t>
            </w:r>
          </w:p>
          <w:p w:rsidR="00EC0D8D" w:rsidRDefault="00EC0D8D" w:rsidP="006A24D7">
            <w:pPr>
              <w:jc w:val="both"/>
            </w:pPr>
          </w:p>
        </w:tc>
      </w:tr>
      <w:tr w:rsidR="00EC0D8D" w:rsidTr="006A24D7">
        <w:tc>
          <w:tcPr>
            <w:tcW w:w="4322" w:type="dxa"/>
          </w:tcPr>
          <w:p w:rsidR="00EC0D8D" w:rsidRDefault="00EC0D8D" w:rsidP="006A24D7">
            <w:pPr>
              <w:jc w:val="both"/>
            </w:pPr>
            <w:r>
              <w:t>Stand disassembly by exhibitors</w:t>
            </w:r>
          </w:p>
          <w:p w:rsidR="00EC0D8D" w:rsidRDefault="00EC0D8D" w:rsidP="006A24D7">
            <w:pPr>
              <w:jc w:val="both"/>
            </w:pPr>
          </w:p>
        </w:tc>
        <w:tc>
          <w:tcPr>
            <w:tcW w:w="4322" w:type="dxa"/>
          </w:tcPr>
          <w:p w:rsidR="00EC0D8D" w:rsidRDefault="00EC0D8D" w:rsidP="006A24D7">
            <w:pPr>
              <w:jc w:val="both"/>
            </w:pPr>
            <w:r>
              <w:t>May 27 to 31, 2022</w:t>
            </w:r>
          </w:p>
          <w:p w:rsidR="00EC0D8D" w:rsidRDefault="00EC0D8D" w:rsidP="006A24D7">
            <w:pPr>
              <w:jc w:val="both"/>
            </w:pPr>
          </w:p>
        </w:tc>
      </w:tr>
    </w:tbl>
    <w:p w:rsidR="00EC0D8D" w:rsidRDefault="00EC0D8D" w:rsidP="00EC0D8D">
      <w:pPr>
        <w:jc w:val="both"/>
        <w:rPr>
          <w:b/>
          <w:bCs/>
        </w:rPr>
      </w:pPr>
    </w:p>
    <w:p w:rsidR="00EC0D8D" w:rsidRPr="006D7DA9" w:rsidRDefault="00EC0D8D" w:rsidP="00EC0D8D">
      <w:pPr>
        <w:jc w:val="both"/>
        <w:rPr>
          <w:b/>
          <w:bCs/>
        </w:rPr>
      </w:pPr>
      <w:r w:rsidRPr="006D7DA9">
        <w:rPr>
          <w:b/>
          <w:bCs/>
        </w:rPr>
        <w:t>ORGANIZER CONTACTS</w:t>
      </w:r>
      <w:r>
        <w:rPr>
          <w:b/>
          <w:bCs/>
        </w:rPr>
        <w:t>:</w:t>
      </w:r>
    </w:p>
    <w:p w:rsidR="00EC0D8D" w:rsidRDefault="00EC0D8D" w:rsidP="00EC0D8D">
      <w:pPr>
        <w:rPr>
          <w:rFonts w:eastAsia="Calibri" w:cs="Calibri"/>
          <w:noProof/>
          <w:color w:val="1F497D"/>
        </w:rPr>
      </w:pPr>
      <w:bookmarkStart w:id="0" w:name="_MailAutoSig"/>
      <w:r>
        <w:rPr>
          <w:rFonts w:eastAsia="Calibri" w:cs="Calibri"/>
          <w:noProof/>
          <w:color w:val="1F497D"/>
          <w:lang w:val="en-US" w:bidi="fa-IR"/>
        </w:rPr>
        <w:drawing>
          <wp:inline distT="0" distB="0" distL="0" distR="0">
            <wp:extent cx="1247775" cy="581025"/>
            <wp:effectExtent l="0" t="0" r="0" b="0"/>
            <wp:docPr id="8" name="Imagen 8" descr="Descripción: cid:image001.png@01CFAD9A.58F31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id:image001.png@01CFAD9A.58F31C10"/>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7775" cy="581025"/>
                    </a:xfrm>
                    <a:prstGeom prst="rect">
                      <a:avLst/>
                    </a:prstGeom>
                    <a:noFill/>
                    <a:ln>
                      <a:noFill/>
                    </a:ln>
                  </pic:spPr>
                </pic:pic>
              </a:graphicData>
            </a:graphic>
          </wp:inline>
        </w:drawing>
      </w:r>
    </w:p>
    <w:p w:rsidR="00EC0D8D" w:rsidRDefault="00EC0D8D" w:rsidP="00EC0D8D">
      <w:pPr>
        <w:rPr>
          <w:rFonts w:ascii="Times New Roman" w:eastAsia="Calibri" w:hAnsi="Times New Roman"/>
          <w:b/>
          <w:bCs/>
          <w:i/>
          <w:iCs/>
          <w:noProof/>
          <w:color w:val="110B91"/>
          <w:sz w:val="20"/>
          <w:szCs w:val="20"/>
        </w:rPr>
      </w:pPr>
      <w:r>
        <w:rPr>
          <w:rFonts w:ascii="Arial" w:eastAsia="Calibri" w:hAnsi="Arial" w:cs="Arial"/>
          <w:b/>
          <w:bCs/>
          <w:i/>
          <w:iCs/>
          <w:noProof/>
          <w:color w:val="000000"/>
          <w:sz w:val="20"/>
          <w:szCs w:val="20"/>
        </w:rPr>
        <w:t>Lic. Rafael Alejandro Rodríguez Maestrey</w:t>
      </w:r>
    </w:p>
    <w:p w:rsidR="00EC0D8D" w:rsidRDefault="00EC0D8D" w:rsidP="00EC0D8D">
      <w:pPr>
        <w:rPr>
          <w:rFonts w:ascii="Arial" w:eastAsia="Calibri" w:hAnsi="Arial" w:cs="Arial"/>
          <w:b/>
          <w:bCs/>
          <w:i/>
          <w:iCs/>
          <w:noProof/>
          <w:color w:val="000000"/>
          <w:sz w:val="20"/>
          <w:szCs w:val="20"/>
        </w:rPr>
      </w:pPr>
      <w:r>
        <w:rPr>
          <w:rFonts w:ascii="Arial" w:eastAsia="Calibri" w:hAnsi="Arial" w:cs="Arial"/>
          <w:b/>
          <w:bCs/>
          <w:i/>
          <w:iCs/>
          <w:noProof/>
          <w:color w:val="000000"/>
          <w:sz w:val="20"/>
          <w:szCs w:val="20"/>
        </w:rPr>
        <w:t>Organizador Profesional de Ferias y Exposiciones</w:t>
      </w:r>
    </w:p>
    <w:p w:rsidR="00EC0D8D" w:rsidRDefault="00EC0D8D" w:rsidP="00EC0D8D">
      <w:pPr>
        <w:rPr>
          <w:rFonts w:ascii="Arial" w:eastAsia="Calibri" w:hAnsi="Arial" w:cs="Arial"/>
          <w:b/>
          <w:bCs/>
          <w:i/>
          <w:iCs/>
          <w:noProof/>
          <w:color w:val="000000"/>
          <w:sz w:val="20"/>
          <w:szCs w:val="20"/>
        </w:rPr>
      </w:pPr>
      <w:r>
        <w:rPr>
          <w:rFonts w:ascii="Arial" w:eastAsia="Calibri" w:hAnsi="Arial" w:cs="Arial"/>
          <w:b/>
          <w:bCs/>
          <w:i/>
          <w:iCs/>
          <w:noProof/>
          <w:color w:val="000000"/>
          <w:sz w:val="20"/>
          <w:szCs w:val="20"/>
        </w:rPr>
        <w:t>Ave. 17 e/ 180 y 182, Oficina Nº6 Rpto. Siboney, Playa, La Habana</w:t>
      </w:r>
    </w:p>
    <w:p w:rsidR="00EC0D8D" w:rsidRDefault="00EC0D8D" w:rsidP="00EC0D8D">
      <w:pPr>
        <w:rPr>
          <w:rFonts w:ascii="Arial" w:eastAsia="Calibri" w:hAnsi="Arial" w:cs="Arial"/>
          <w:b/>
          <w:bCs/>
          <w:i/>
          <w:iCs/>
          <w:noProof/>
          <w:color w:val="000000"/>
          <w:sz w:val="20"/>
          <w:szCs w:val="20"/>
        </w:rPr>
      </w:pPr>
      <w:r>
        <w:rPr>
          <w:rFonts w:ascii="Arial" w:eastAsia="Calibri" w:hAnsi="Arial" w:cs="Arial"/>
          <w:b/>
          <w:bCs/>
          <w:i/>
          <w:iCs/>
          <w:noProof/>
          <w:color w:val="000000"/>
          <w:sz w:val="20"/>
          <w:szCs w:val="20"/>
        </w:rPr>
        <w:t>Teléf.: (53) 7230 1128 /  7202 6011 al 18 ext. 754 Movil +53 5216 0251</w:t>
      </w:r>
    </w:p>
    <w:p w:rsidR="00EC0D8D" w:rsidRDefault="00EC0D8D" w:rsidP="00EC0D8D">
      <w:pPr>
        <w:rPr>
          <w:rFonts w:ascii="Arial" w:eastAsia="Calibri" w:hAnsi="Arial" w:cs="Arial"/>
          <w:i/>
          <w:iCs/>
          <w:noProof/>
          <w:color w:val="0070C0"/>
          <w:sz w:val="20"/>
          <w:szCs w:val="20"/>
        </w:rPr>
      </w:pPr>
      <w:r>
        <w:rPr>
          <w:rFonts w:ascii="Arial" w:eastAsia="Calibri" w:hAnsi="Arial" w:cs="Arial"/>
          <w:b/>
          <w:bCs/>
          <w:i/>
          <w:iCs/>
          <w:noProof/>
          <w:color w:val="000000"/>
          <w:sz w:val="20"/>
          <w:szCs w:val="20"/>
        </w:rPr>
        <w:t xml:space="preserve">E-mail: </w:t>
      </w:r>
      <w:hyperlink r:id="rId6" w:history="1">
        <w:r>
          <w:rPr>
            <w:rStyle w:val="Hyperlink"/>
            <w:rFonts w:ascii="Arial" w:eastAsia="Calibri" w:hAnsi="Arial" w:cs="Arial"/>
            <w:b/>
            <w:bCs/>
            <w:i/>
            <w:iCs/>
            <w:noProof/>
            <w:color w:val="0070C0"/>
            <w:sz w:val="20"/>
            <w:szCs w:val="20"/>
          </w:rPr>
          <w:t>rafaelalejandro@palco.cu</w:t>
        </w:r>
      </w:hyperlink>
    </w:p>
    <w:p w:rsidR="00EC0D8D" w:rsidRDefault="00EC0D8D" w:rsidP="00EC0D8D">
      <w:pPr>
        <w:rPr>
          <w:rFonts w:ascii="Arial" w:eastAsia="Calibri" w:hAnsi="Arial" w:cs="Arial"/>
          <w:i/>
          <w:iCs/>
          <w:noProof/>
          <w:color w:val="0070C0"/>
          <w:sz w:val="20"/>
          <w:szCs w:val="20"/>
        </w:rPr>
      </w:pPr>
      <w:hyperlink r:id="rId7" w:history="1">
        <w:r>
          <w:rPr>
            <w:rStyle w:val="Hyperlink"/>
            <w:rFonts w:ascii="Arial" w:eastAsia="Calibri" w:hAnsi="Arial" w:cs="Arial"/>
            <w:b/>
            <w:bCs/>
            <w:i/>
            <w:iCs/>
            <w:noProof/>
            <w:color w:val="0070C0"/>
            <w:sz w:val="20"/>
            <w:szCs w:val="20"/>
          </w:rPr>
          <w:t>www.gpalco.com</w:t>
        </w:r>
      </w:hyperlink>
    </w:p>
    <w:p w:rsidR="00EC0D8D" w:rsidRDefault="00EC0D8D" w:rsidP="00EC0D8D">
      <w:pPr>
        <w:rPr>
          <w:rFonts w:ascii="Arial" w:hAnsi="Arial"/>
        </w:rPr>
      </w:pPr>
      <w:r>
        <w:rPr>
          <w:rFonts w:eastAsia="Calibri" w:cs="Calibri"/>
          <w:b/>
          <w:i/>
          <w:noProof/>
          <w:color w:val="110B91"/>
          <w:lang w:val="en-US" w:bidi="fa-IR"/>
        </w:rPr>
        <w:drawing>
          <wp:inline distT="0" distB="0" distL="0" distR="0">
            <wp:extent cx="685800" cy="314325"/>
            <wp:effectExtent l="0" t="0" r="0" b="0"/>
            <wp:docPr id="7" name="Imagen 7" descr="Descripción: cid:image006.png@01D2B374.4A749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id:image006.png@01D2B374.4A749BE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314325"/>
                    </a:xfrm>
                    <a:prstGeom prst="rect">
                      <a:avLst/>
                    </a:prstGeom>
                    <a:noFill/>
                    <a:ln>
                      <a:noFill/>
                    </a:ln>
                  </pic:spPr>
                </pic:pic>
              </a:graphicData>
            </a:graphic>
          </wp:inline>
        </w:drawing>
      </w:r>
      <w:r>
        <w:rPr>
          <w:rFonts w:eastAsia="Calibri" w:cs="Calibri"/>
          <w:noProof/>
          <w:color w:val="1F497D"/>
          <w:lang w:val="en-US" w:bidi="fa-IR"/>
        </w:rPr>
        <w:drawing>
          <wp:inline distT="0" distB="0" distL="0" distR="0">
            <wp:extent cx="1095375" cy="295275"/>
            <wp:effectExtent l="0" t="0" r="0" b="0"/>
            <wp:docPr id="3" name="Imagen 3" descr="Descripción: LOGO DEFINITIVO 40 AN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OGO DEFINITIVO 40 ANIVERS"/>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295275"/>
                    </a:xfrm>
                    <a:prstGeom prst="rect">
                      <a:avLst/>
                    </a:prstGeom>
                    <a:noFill/>
                    <a:ln>
                      <a:noFill/>
                    </a:ln>
                  </pic:spPr>
                </pic:pic>
              </a:graphicData>
            </a:graphic>
          </wp:inline>
        </w:drawing>
      </w:r>
      <w:r>
        <w:rPr>
          <w:rFonts w:eastAsia="Calibri" w:cs="Calibri"/>
          <w:b/>
          <w:bCs/>
          <w:i/>
          <w:iCs/>
          <w:noProof/>
          <w:color w:val="110B91"/>
        </w:rPr>
        <w:t> </w:t>
      </w:r>
      <w:r>
        <w:rPr>
          <w:rFonts w:eastAsia="Calibri" w:cs="Calibri"/>
          <w:noProof/>
          <w:color w:val="1F497D"/>
          <w:lang w:val="en-US" w:bidi="fa-IR"/>
        </w:rPr>
        <w:drawing>
          <wp:inline distT="0" distB="0" distL="0" distR="0">
            <wp:extent cx="466725" cy="400050"/>
            <wp:effectExtent l="0" t="0" r="0" b="0"/>
            <wp:docPr id="1" name="Imagen 1" descr="Descripción: Logo 500 Aniversario de La hab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 500 Aniversario de La habana"/>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Pr>
          <w:rFonts w:eastAsia="Calibri" w:cs="Calibri"/>
          <w:b/>
          <w:bCs/>
          <w:i/>
          <w:iCs/>
          <w:noProof/>
          <w:color w:val="110B91"/>
        </w:rPr>
        <w:t>           </w:t>
      </w:r>
      <w:bookmarkEnd w:id="0"/>
    </w:p>
    <w:p w:rsidR="00EC0D8D" w:rsidRPr="004A4BBA" w:rsidRDefault="00EC0D8D" w:rsidP="00EC0D8D">
      <w:pPr>
        <w:jc w:val="both"/>
        <w:rPr>
          <w:b/>
          <w:bCs/>
        </w:rPr>
      </w:pPr>
    </w:p>
    <w:p w:rsidR="00EC0D8D" w:rsidRDefault="00EC0D8D" w:rsidP="00EC0D8D">
      <w:pPr>
        <w:jc w:val="both"/>
      </w:pPr>
    </w:p>
    <w:p w:rsidR="00FD53FF" w:rsidRDefault="00FD53FF">
      <w:pPr>
        <w:rPr>
          <w:rFonts w:hint="cs"/>
        </w:rPr>
      </w:pPr>
    </w:p>
    <w:sectPr w:rsidR="00FD53FF" w:rsidSect="005B08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0D8D"/>
    <w:rsid w:val="000174DB"/>
    <w:rsid w:val="00EC0D8D"/>
    <w:rsid w:val="00FD53F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8D"/>
    <w:rPr>
      <w:lang w:val="es-E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0D8D"/>
    <w:pPr>
      <w:spacing w:after="0" w:line="240" w:lineRule="auto"/>
    </w:pPr>
    <w:rPr>
      <w:lang w:val="es-E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C0D8D"/>
    <w:rPr>
      <w:color w:val="0000FF"/>
      <w:u w:val="single"/>
    </w:rPr>
  </w:style>
  <w:style w:type="paragraph" w:styleId="BalloonText">
    <w:name w:val="Balloon Text"/>
    <w:basedOn w:val="Normal"/>
    <w:link w:val="BalloonTextChar"/>
    <w:uiPriority w:val="99"/>
    <w:semiHidden/>
    <w:unhideWhenUsed/>
    <w:rsid w:val="00EC0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D8D"/>
    <w:rPr>
      <w:rFonts w:ascii="Tahoma" w:hAnsi="Tahoma" w:cs="Tahoma"/>
      <w:sz w:val="16"/>
      <w:szCs w:val="16"/>
      <w:lang w:val="es-E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gpalc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felalejandro@palco.cu"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jpeg"/><Relationship Id="rId4" Type="http://schemas.openxmlformats.org/officeDocument/2006/relationships/image" Target="media/image1.emf"/><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9335</Characters>
  <Application>Microsoft Office Word</Application>
  <DocSecurity>0</DocSecurity>
  <Lines>77</Lines>
  <Paragraphs>21</Paragraphs>
  <ScaleCrop>false</ScaleCrop>
  <Company>Hewlett-Packard Company</Company>
  <LinksUpToDate>false</LinksUpToDate>
  <CharactersWithSpaces>10951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2022-02-21T23:13:00Z</dcterms:created>
  <dcterms:modified xsi:type="dcterms:W3CDTF">2022-02-21T23:13:00Z</dcterms:modified>
</cp:coreProperties>
</file>