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FC" w:rsidRPr="00EA53BF" w:rsidRDefault="003E2DFC" w:rsidP="00855389">
      <w:pPr>
        <w:bidi/>
        <w:jc w:val="both"/>
        <w:rPr>
          <w:rFonts w:cs="B Nazanin"/>
          <w:rtl/>
        </w:rPr>
      </w:pPr>
    </w:p>
    <w:p w:rsidR="001D18F0" w:rsidRPr="00EA53BF" w:rsidRDefault="001D18F0" w:rsidP="001D18F0">
      <w:pPr>
        <w:bidi/>
        <w:spacing w:after="0"/>
        <w:jc w:val="both"/>
        <w:rPr>
          <w:rFonts w:asciiTheme="majorBidi" w:hAnsiTheme="majorBidi" w:cs="B Nazanin"/>
          <w:b/>
          <w:bCs/>
          <w:sz w:val="28"/>
          <w:szCs w:val="28"/>
          <w:u w:val="single"/>
        </w:rPr>
      </w:pPr>
      <w:r w:rsidRPr="00EA53BF">
        <w:rPr>
          <w:rFonts w:asciiTheme="majorBidi" w:hAnsiTheme="majorBidi" w:cs="B Nazanin"/>
          <w:b/>
          <w:bCs/>
          <w:sz w:val="28"/>
          <w:szCs w:val="28"/>
          <w:u w:val="single"/>
          <w:rtl/>
          <w:lang w:val="tk-TM" w:bidi="fa-IR"/>
        </w:rPr>
        <w:t>شرکت دولتی "ترکمن نفت</w:t>
      </w:r>
      <w:r w:rsidRPr="00EA53BF">
        <w:rPr>
          <w:rFonts w:ascii="Times New Roman" w:hAnsi="Times New Roman" w:cs="B Nazanin"/>
          <w:b/>
          <w:bCs/>
          <w:sz w:val="28"/>
          <w:szCs w:val="28"/>
          <w:u w:val="single"/>
          <w:rtl/>
          <w:lang w:val="tk-TM" w:bidi="fa-IR"/>
        </w:rPr>
        <w:t>"</w:t>
      </w:r>
      <w:r w:rsidRPr="00EA53BF">
        <w:rPr>
          <w:rFonts w:asciiTheme="majorBidi" w:hAnsiTheme="majorBidi" w:cs="B Nazanin"/>
          <w:b/>
          <w:bCs/>
          <w:sz w:val="28"/>
          <w:szCs w:val="28"/>
          <w:u w:val="single"/>
          <w:rtl/>
          <w:lang w:val="tk-TM" w:bidi="fa-IR"/>
        </w:rPr>
        <w:t>مناقصه خر</w:t>
      </w:r>
      <w:r w:rsidRPr="00EA53BF">
        <w:rPr>
          <w:rFonts w:asciiTheme="majorBidi" w:hAnsiTheme="majorBidi" w:cs="B Nazanin" w:hint="cs"/>
          <w:b/>
          <w:bCs/>
          <w:sz w:val="28"/>
          <w:szCs w:val="28"/>
          <w:u w:val="single"/>
          <w:rtl/>
          <w:lang w:val="tk-TM" w:bidi="fa-IR"/>
        </w:rPr>
        <w:t>ی</w:t>
      </w:r>
      <w:r w:rsidRPr="00EA53BF">
        <w:rPr>
          <w:rFonts w:asciiTheme="majorBidi" w:hAnsiTheme="majorBidi" w:cs="B Nazanin" w:hint="eastAsia"/>
          <w:b/>
          <w:bCs/>
          <w:sz w:val="28"/>
          <w:szCs w:val="28"/>
          <w:u w:val="single"/>
          <w:rtl/>
          <w:lang w:val="tk-TM" w:bidi="fa-IR"/>
        </w:rPr>
        <w:t>د</w:t>
      </w:r>
      <w:r w:rsidRPr="00EA53BF">
        <w:rPr>
          <w:rFonts w:asciiTheme="majorBidi" w:hAnsiTheme="majorBidi" w:cs="B Nazanin"/>
          <w:b/>
          <w:bCs/>
          <w:sz w:val="28"/>
          <w:szCs w:val="28"/>
          <w:u w:val="single"/>
          <w:rtl/>
          <w:lang w:val="tk-TM" w:bidi="fa-IR"/>
        </w:rPr>
        <w:t xml:space="preserve"> محصولات ش</w:t>
      </w:r>
      <w:r w:rsidRPr="00EA53BF">
        <w:rPr>
          <w:rFonts w:asciiTheme="majorBidi" w:hAnsiTheme="majorBidi" w:cs="B Nazanin" w:hint="cs"/>
          <w:b/>
          <w:bCs/>
          <w:sz w:val="28"/>
          <w:szCs w:val="28"/>
          <w:u w:val="single"/>
          <w:rtl/>
          <w:lang w:val="tk-TM" w:bidi="fa-IR"/>
        </w:rPr>
        <w:t>ی</w:t>
      </w:r>
      <w:r w:rsidRPr="00EA53BF">
        <w:rPr>
          <w:rFonts w:asciiTheme="majorBidi" w:hAnsiTheme="majorBidi" w:cs="B Nazanin" w:hint="eastAsia"/>
          <w:b/>
          <w:bCs/>
          <w:sz w:val="28"/>
          <w:szCs w:val="28"/>
          <w:u w:val="single"/>
          <w:rtl/>
          <w:lang w:val="tk-TM" w:bidi="fa-IR"/>
        </w:rPr>
        <w:t>م</w:t>
      </w:r>
      <w:r w:rsidRPr="00EA53BF">
        <w:rPr>
          <w:rFonts w:asciiTheme="majorBidi" w:hAnsiTheme="majorBidi" w:cs="B Nazanin" w:hint="cs"/>
          <w:b/>
          <w:bCs/>
          <w:sz w:val="28"/>
          <w:szCs w:val="28"/>
          <w:u w:val="single"/>
          <w:rtl/>
          <w:lang w:val="tk-TM" w:bidi="fa-IR"/>
        </w:rPr>
        <w:t>ی</w:t>
      </w:r>
      <w:r w:rsidRPr="00EA53BF">
        <w:rPr>
          <w:rFonts w:asciiTheme="majorBidi" w:hAnsiTheme="majorBidi" w:cs="B Nazanin" w:hint="eastAsia"/>
          <w:b/>
          <w:bCs/>
          <w:sz w:val="28"/>
          <w:szCs w:val="28"/>
          <w:u w:val="single"/>
          <w:rtl/>
          <w:lang w:val="tk-TM" w:bidi="fa-IR"/>
        </w:rPr>
        <w:t>ا</w:t>
      </w:r>
      <w:r w:rsidRPr="00EA53BF">
        <w:rPr>
          <w:rFonts w:asciiTheme="majorBidi" w:hAnsiTheme="majorBidi" w:cs="B Nazanin" w:hint="cs"/>
          <w:b/>
          <w:bCs/>
          <w:sz w:val="28"/>
          <w:szCs w:val="28"/>
          <w:u w:val="single"/>
          <w:rtl/>
          <w:lang w:val="tk-TM" w:bidi="fa-IR"/>
        </w:rPr>
        <w:t>یی</w:t>
      </w:r>
      <w:r w:rsidRPr="00EA53BF">
        <w:rPr>
          <w:rFonts w:asciiTheme="majorBidi" w:hAnsiTheme="majorBidi" w:cs="B Nazanin"/>
          <w:b/>
          <w:bCs/>
          <w:sz w:val="28"/>
          <w:szCs w:val="28"/>
          <w:u w:val="single"/>
          <w:rtl/>
          <w:lang w:val="tk-TM" w:bidi="fa-IR"/>
        </w:rPr>
        <w:t xml:space="preserve"> را مجددا اعلام م</w:t>
      </w:r>
      <w:r w:rsidRPr="00EA53BF">
        <w:rPr>
          <w:rFonts w:asciiTheme="majorBidi" w:hAnsiTheme="majorBidi" w:cs="B Nazanin" w:hint="cs"/>
          <w:b/>
          <w:bCs/>
          <w:sz w:val="28"/>
          <w:szCs w:val="28"/>
          <w:u w:val="single"/>
          <w:rtl/>
          <w:lang w:val="tk-TM" w:bidi="fa-IR"/>
        </w:rPr>
        <w:t>ی</w:t>
      </w:r>
      <w:r w:rsidRPr="00EA53BF">
        <w:rPr>
          <w:rFonts w:asciiTheme="majorBidi" w:hAnsiTheme="majorBidi" w:cs="B Nazanin"/>
          <w:b/>
          <w:bCs/>
          <w:sz w:val="28"/>
          <w:szCs w:val="28"/>
          <w:u w:val="single"/>
          <w:rtl/>
          <w:lang w:val="tk-TM" w:bidi="fa-IR"/>
        </w:rPr>
        <w:t xml:space="preserve"> کند</w:t>
      </w:r>
      <w:r w:rsidR="00EA53BF">
        <w:rPr>
          <w:rFonts w:asciiTheme="majorBidi" w:hAnsiTheme="majorBidi" w:cs="B Nazanin"/>
          <w:b/>
          <w:bCs/>
          <w:sz w:val="28"/>
          <w:szCs w:val="28"/>
          <w:u w:val="single"/>
          <w:lang w:bidi="fa-IR"/>
        </w:rPr>
        <w:t>.</w:t>
      </w:r>
      <w:bookmarkStart w:id="0" w:name="_GoBack"/>
      <w:bookmarkEnd w:id="0"/>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val="en-US" w:bidi="fa-IR"/>
        </w:rPr>
        <w:t xml:space="preserve"> زمان انتشار خبر: </w:t>
      </w:r>
      <w:r w:rsidRPr="00EA53BF">
        <w:rPr>
          <w:rFonts w:asciiTheme="majorBidi" w:hAnsiTheme="majorBidi" w:cs="B Nazanin" w:hint="cs"/>
          <w:sz w:val="28"/>
          <w:szCs w:val="28"/>
          <w:rtl/>
          <w:lang w:val="en-US" w:bidi="fa-IR"/>
        </w:rPr>
        <w:t>27</w:t>
      </w:r>
      <w:r w:rsidRPr="00EA53BF">
        <w:rPr>
          <w:rFonts w:asciiTheme="majorBidi" w:hAnsiTheme="majorBidi" w:cs="B Nazanin"/>
          <w:sz w:val="28"/>
          <w:szCs w:val="28"/>
          <w:rtl/>
          <w:lang w:val="en-US" w:bidi="fa-IR"/>
        </w:rPr>
        <w:t xml:space="preserve">/12/1400 </w:t>
      </w:r>
    </w:p>
    <w:p w:rsidR="001D18F0" w:rsidRPr="00EA53BF" w:rsidRDefault="001D18F0" w:rsidP="001D18F0">
      <w:pPr>
        <w:pStyle w:val="NoSpacing"/>
        <w:bidi/>
        <w:jc w:val="both"/>
        <w:rPr>
          <w:rFonts w:asciiTheme="majorBidi" w:hAnsiTheme="majorBidi" w:cs="B Nazanin"/>
          <w:b/>
          <w:bCs/>
          <w:sz w:val="28"/>
          <w:szCs w:val="28"/>
          <w:lang w:bidi="fa-IR"/>
        </w:rPr>
      </w:pPr>
      <w:r w:rsidRPr="00EA53BF">
        <w:rPr>
          <w:rFonts w:asciiTheme="majorBidi" w:eastAsia="Calibri" w:hAnsiTheme="majorBidi" w:cs="B Nazanin"/>
          <w:sz w:val="28"/>
          <w:szCs w:val="28"/>
          <w:rtl/>
          <w:lang w:bidi="fa-IR"/>
        </w:rPr>
        <w:tab/>
        <w:t>خبرگزاری بیزنس</w:t>
      </w:r>
      <w:r w:rsidRPr="00EA53BF">
        <w:rPr>
          <w:rFonts w:asciiTheme="majorBidi" w:hAnsiTheme="majorBidi" w:cs="B Nazanin"/>
          <w:sz w:val="28"/>
          <w:szCs w:val="28"/>
          <w:rtl/>
          <w:lang w:bidi="fa-IR"/>
        </w:rPr>
        <w:t xml:space="preserve"> ترکمنستان: شرکت دولتی "ترکمن نفت" به نمایندگی از کمیسیون مناقصه، مجدداً مناقصه باز شماره </w:t>
      </w:r>
      <w:r w:rsidRPr="00EA53BF">
        <w:rPr>
          <w:rFonts w:asciiTheme="majorBidi" w:hAnsiTheme="majorBidi" w:cs="B Nazanin" w:hint="cs"/>
          <w:sz w:val="28"/>
          <w:szCs w:val="28"/>
          <w:rtl/>
          <w:lang w:bidi="fa-IR"/>
        </w:rPr>
        <w:t>2</w:t>
      </w:r>
      <w:r w:rsidRPr="00EA53BF">
        <w:rPr>
          <w:rFonts w:asciiTheme="majorBidi" w:hAnsiTheme="majorBidi" w:cs="B Nazanin"/>
          <w:sz w:val="28"/>
          <w:szCs w:val="28"/>
          <w:rtl/>
          <w:lang w:bidi="fa-IR"/>
        </w:rPr>
        <w:t>/</w:t>
      </w:r>
      <w:r w:rsidRPr="00EA53BF">
        <w:rPr>
          <w:rFonts w:asciiTheme="majorBidi" w:hAnsiTheme="majorBidi" w:cs="B Nazanin" w:hint="cs"/>
          <w:sz w:val="28"/>
          <w:szCs w:val="28"/>
          <w:rtl/>
          <w:lang w:bidi="fa-IR"/>
        </w:rPr>
        <w:t xml:space="preserve">8 </w:t>
      </w:r>
      <w:r w:rsidRPr="00EA53BF">
        <w:rPr>
          <w:rFonts w:asciiTheme="majorBidi" w:hAnsiTheme="majorBidi" w:cs="B Nazanin"/>
          <w:sz w:val="28"/>
          <w:szCs w:val="28"/>
          <w:rtl/>
          <w:lang w:bidi="fa-IR"/>
        </w:rPr>
        <w:t>برای خرید جهت قطعات زیر مجدداً اعلام می دارد:</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 xml:space="preserve">قطعه شماره 3 </w:t>
      </w:r>
      <w:r w:rsidRPr="00EA53BF">
        <w:rPr>
          <w:rFonts w:ascii="Times New Roman" w:hAnsi="Times New Roman" w:cs="Times New Roman" w:hint="cs"/>
          <w:sz w:val="28"/>
          <w:szCs w:val="28"/>
          <w:rtl/>
          <w:lang w:bidi="fa-IR"/>
        </w:rPr>
        <w:t>–</w:t>
      </w:r>
      <w:r w:rsidRPr="00EA53BF">
        <w:rPr>
          <w:rFonts w:asciiTheme="majorBidi" w:hAnsiTheme="majorBidi" w:cs="B Nazanin"/>
          <w:sz w:val="28"/>
          <w:szCs w:val="28"/>
          <w:rtl/>
          <w:lang w:bidi="fa-IR"/>
        </w:rPr>
        <w:t xml:space="preserve"> محصولات ش</w:t>
      </w:r>
      <w:r w:rsidRPr="00EA53BF">
        <w:rPr>
          <w:rFonts w:asciiTheme="majorBidi" w:hAnsiTheme="majorBidi" w:cs="B Nazanin" w:hint="cs"/>
          <w:sz w:val="28"/>
          <w:szCs w:val="28"/>
          <w:rtl/>
          <w:lang w:bidi="fa-IR"/>
        </w:rPr>
        <w:t>ی</w:t>
      </w:r>
      <w:r w:rsidRPr="00EA53BF">
        <w:rPr>
          <w:rFonts w:asciiTheme="majorBidi" w:hAnsiTheme="majorBidi" w:cs="B Nazanin" w:hint="eastAsia"/>
          <w:sz w:val="28"/>
          <w:szCs w:val="28"/>
          <w:rtl/>
          <w:lang w:bidi="fa-IR"/>
        </w:rPr>
        <w:t>م</w:t>
      </w:r>
      <w:r w:rsidRPr="00EA53BF">
        <w:rPr>
          <w:rFonts w:asciiTheme="majorBidi" w:hAnsiTheme="majorBidi" w:cs="B Nazanin" w:hint="cs"/>
          <w:sz w:val="28"/>
          <w:szCs w:val="28"/>
          <w:rtl/>
          <w:lang w:bidi="fa-IR"/>
        </w:rPr>
        <w:t>ی</w:t>
      </w:r>
      <w:r w:rsidRPr="00EA53BF">
        <w:rPr>
          <w:rFonts w:asciiTheme="majorBidi" w:hAnsiTheme="majorBidi" w:cs="B Nazanin" w:hint="eastAsia"/>
          <w:sz w:val="28"/>
          <w:szCs w:val="28"/>
          <w:rtl/>
          <w:lang w:bidi="fa-IR"/>
        </w:rPr>
        <w:t>ا</w:t>
      </w:r>
      <w:r w:rsidRPr="00EA53BF">
        <w:rPr>
          <w:rFonts w:asciiTheme="majorBidi" w:hAnsiTheme="majorBidi" w:cs="B Nazanin" w:hint="cs"/>
          <w:sz w:val="28"/>
          <w:szCs w:val="28"/>
          <w:rtl/>
          <w:lang w:bidi="fa-IR"/>
        </w:rPr>
        <w:t>یی</w:t>
      </w:r>
      <w:r w:rsidRPr="00EA53BF">
        <w:rPr>
          <w:rFonts w:asciiTheme="majorBidi" w:hAnsiTheme="majorBidi" w:cs="B Nazanin"/>
          <w:sz w:val="28"/>
          <w:szCs w:val="28"/>
          <w:rtl/>
          <w:lang w:bidi="fa-IR"/>
        </w:rPr>
        <w:t xml:space="preserve"> و مواد کمک</w:t>
      </w:r>
      <w:r w:rsidRPr="00EA53BF">
        <w:rPr>
          <w:rFonts w:asciiTheme="majorBidi" w:hAnsiTheme="majorBidi" w:cs="B Nazanin" w:hint="cs"/>
          <w:sz w:val="28"/>
          <w:szCs w:val="28"/>
          <w:rtl/>
          <w:lang w:bidi="fa-IR"/>
        </w:rPr>
        <w:t>ی</w:t>
      </w:r>
      <w:r w:rsidRPr="00EA53BF">
        <w:rPr>
          <w:rFonts w:asciiTheme="majorBidi" w:hAnsiTheme="majorBidi" w:cs="B Nazanin"/>
          <w:sz w:val="28"/>
          <w:szCs w:val="28"/>
          <w:rtl/>
          <w:lang w:bidi="fa-IR"/>
        </w:rPr>
        <w:t>.</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برای شرکت در مناقصه، مدارک زیر را ارائه دهند:</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 دریافت مشخصات تعداد، الزامات فنی و شرایط اساسی قرارداد.</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 دریافت شماره حساب برای پرداخت وجوه به مبلغ 575 دلار آمریکا یا معادل آن به منات (با احتساب مالیات بر ارزش افزوده) به ازای هر قطعه برای شرکت در مناقصه به صورت رایگان؛</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به آدرس: شهر عشق آباد 1939، خیابان آرچه بیل 56، طبقه 4 ، دفتر مدیریت ترکمن نفت.</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پیشنهادات ظرف 30 (سی) روز کاری از تاریخ انتشار رسمی اعلام این مناقصه، اما حداکثر تا ساعت 1600 (به وقت محلی) پذیرفته می شود.</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به پیشنهاداتی که دیرتر از مهلت فوق دریافت شود، رسیدگی نمی شود.</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هنگام انتقال درخواست کتبی، حساب انتقال وجوه مشخص می شود.</w:t>
      </w:r>
    </w:p>
    <w:p w:rsidR="001D18F0" w:rsidRPr="00EA53BF" w:rsidRDefault="001D18F0" w:rsidP="001D18F0">
      <w:pPr>
        <w:pStyle w:val="NoSpacing"/>
        <w:bidi/>
        <w:ind w:firstLine="720"/>
        <w:jc w:val="both"/>
        <w:rPr>
          <w:rFonts w:asciiTheme="majorBidi" w:hAnsiTheme="majorBidi" w:cs="B Nazanin"/>
          <w:sz w:val="28"/>
          <w:szCs w:val="28"/>
          <w:lang w:bidi="fa-IR"/>
        </w:rPr>
      </w:pPr>
      <w:r w:rsidRPr="00EA53BF">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EA53BF">
        <w:rPr>
          <w:rFonts w:asciiTheme="majorBidi" w:hAnsiTheme="majorBidi" w:cs="B Nazanin"/>
          <w:sz w:val="28"/>
          <w:szCs w:val="28"/>
          <w:lang w:bidi="fa-IR"/>
        </w:rPr>
        <w:t>Word</w:t>
      </w:r>
      <w:r w:rsidRPr="00EA53BF">
        <w:rPr>
          <w:rFonts w:asciiTheme="majorBidi" w:hAnsiTheme="majorBidi" w:cs="B Nazanin"/>
          <w:sz w:val="28"/>
          <w:szCs w:val="28"/>
          <w:rtl/>
          <w:lang w:bidi="fa-IR"/>
        </w:rPr>
        <w:t>") و مشخصات فنی و اقتصادی (در قالب "</w:t>
      </w:r>
      <w:r w:rsidRPr="00EA53BF">
        <w:rPr>
          <w:rFonts w:asciiTheme="majorBidi" w:hAnsiTheme="majorBidi" w:cs="B Nazanin"/>
          <w:sz w:val="28"/>
          <w:szCs w:val="28"/>
          <w:lang w:bidi="fa-IR"/>
        </w:rPr>
        <w:t>Excel</w:t>
      </w:r>
      <w:r w:rsidRPr="00EA53BF">
        <w:rPr>
          <w:rFonts w:asciiTheme="majorBidi" w:hAnsiTheme="majorBidi" w:cs="B Nazanin"/>
          <w:sz w:val="28"/>
          <w:szCs w:val="28"/>
          <w:rtl/>
          <w:lang w:bidi="fa-IR"/>
        </w:rPr>
        <w:t>") باشد.</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تلفن برای استعلام: 0099312403977، 0099312403636، 0099312403960.</w:t>
      </w:r>
    </w:p>
    <w:p w:rsidR="001D18F0" w:rsidRPr="00EA53BF" w:rsidRDefault="001D18F0" w:rsidP="001D18F0">
      <w:pPr>
        <w:pStyle w:val="NoSpacing"/>
        <w:bidi/>
        <w:jc w:val="both"/>
        <w:rPr>
          <w:rFonts w:asciiTheme="majorBidi" w:hAnsiTheme="majorBidi" w:cs="B Nazanin"/>
          <w:sz w:val="28"/>
          <w:szCs w:val="28"/>
          <w:lang w:bidi="fa-IR"/>
        </w:rPr>
      </w:pPr>
      <w:r w:rsidRPr="00EA53BF">
        <w:rPr>
          <w:rFonts w:asciiTheme="majorBidi" w:hAnsiTheme="majorBidi" w:cs="B Nazanin"/>
          <w:sz w:val="28"/>
          <w:szCs w:val="28"/>
          <w:rtl/>
          <w:lang w:bidi="fa-IR"/>
        </w:rPr>
        <w:t>فکس: 0099312403939.</w:t>
      </w:r>
    </w:p>
    <w:p w:rsidR="00855389" w:rsidRPr="00EA53BF" w:rsidRDefault="001D18F0" w:rsidP="001D18F0">
      <w:pPr>
        <w:bidi/>
        <w:jc w:val="both"/>
        <w:rPr>
          <w:rFonts w:cs="B Nazanin"/>
          <w:rtl/>
          <w:lang w:val="tk-TM"/>
        </w:rPr>
      </w:pPr>
      <w:r w:rsidRPr="00EA53BF">
        <w:rPr>
          <w:rFonts w:asciiTheme="majorBidi" w:hAnsiTheme="majorBidi" w:cs="B Nazanin"/>
          <w:sz w:val="28"/>
          <w:szCs w:val="28"/>
          <w:rtl/>
          <w:lang w:bidi="fa-IR"/>
        </w:rPr>
        <w:t xml:space="preserve">منبع: </w:t>
      </w:r>
      <w:hyperlink r:id="rId6" w:history="1">
        <w:r w:rsidRPr="00EA53BF">
          <w:rPr>
            <w:rStyle w:val="Hyperlink"/>
            <w:rFonts w:cs="B Nazanin"/>
            <w:lang w:val="tk-TM"/>
          </w:rPr>
          <w:t>https://business.com.tm/ru/info/5503/gk-turkmennebit-povtorno-obyavlyaet-tender-na-zakupku-himicheskoi-produkcii</w:t>
        </w:r>
      </w:hyperlink>
    </w:p>
    <w:sectPr w:rsidR="00855389" w:rsidRPr="00EA53BF"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758E6"/>
    <w:multiLevelType w:val="hybridMultilevel"/>
    <w:tmpl w:val="2DF6BE98"/>
    <w:lvl w:ilvl="0" w:tplc="4AB8C9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13C8"/>
    <w:rsid w:val="0006647F"/>
    <w:rsid w:val="00076824"/>
    <w:rsid w:val="00083ADC"/>
    <w:rsid w:val="00086B76"/>
    <w:rsid w:val="00087949"/>
    <w:rsid w:val="00093DF9"/>
    <w:rsid w:val="000A7A28"/>
    <w:rsid w:val="000B230F"/>
    <w:rsid w:val="000B47F3"/>
    <w:rsid w:val="000B601A"/>
    <w:rsid w:val="000C383D"/>
    <w:rsid w:val="000D49DD"/>
    <w:rsid w:val="000E1B6F"/>
    <w:rsid w:val="000E61BC"/>
    <w:rsid w:val="000E6FA1"/>
    <w:rsid w:val="00100AC2"/>
    <w:rsid w:val="0010361F"/>
    <w:rsid w:val="0010614F"/>
    <w:rsid w:val="00107F86"/>
    <w:rsid w:val="001142EA"/>
    <w:rsid w:val="0012235C"/>
    <w:rsid w:val="00125DE0"/>
    <w:rsid w:val="00126518"/>
    <w:rsid w:val="00134DF3"/>
    <w:rsid w:val="00135A89"/>
    <w:rsid w:val="001375FB"/>
    <w:rsid w:val="0013792D"/>
    <w:rsid w:val="00141C2B"/>
    <w:rsid w:val="001452A7"/>
    <w:rsid w:val="001458EC"/>
    <w:rsid w:val="00145B44"/>
    <w:rsid w:val="001573E1"/>
    <w:rsid w:val="00164E64"/>
    <w:rsid w:val="00167FD2"/>
    <w:rsid w:val="0018279B"/>
    <w:rsid w:val="00194BBE"/>
    <w:rsid w:val="00194F15"/>
    <w:rsid w:val="00195EA1"/>
    <w:rsid w:val="001A2260"/>
    <w:rsid w:val="001A2D87"/>
    <w:rsid w:val="001B2333"/>
    <w:rsid w:val="001B3217"/>
    <w:rsid w:val="001D0BC3"/>
    <w:rsid w:val="001D18F0"/>
    <w:rsid w:val="001F0729"/>
    <w:rsid w:val="001F455E"/>
    <w:rsid w:val="001F49C1"/>
    <w:rsid w:val="00206088"/>
    <w:rsid w:val="00211914"/>
    <w:rsid w:val="002152C3"/>
    <w:rsid w:val="002250FB"/>
    <w:rsid w:val="00232E28"/>
    <w:rsid w:val="00235ECF"/>
    <w:rsid w:val="002414AD"/>
    <w:rsid w:val="00242E46"/>
    <w:rsid w:val="0024691B"/>
    <w:rsid w:val="00250FFE"/>
    <w:rsid w:val="00253A9D"/>
    <w:rsid w:val="00253AFF"/>
    <w:rsid w:val="00261DBB"/>
    <w:rsid w:val="00266E2F"/>
    <w:rsid w:val="00273E20"/>
    <w:rsid w:val="00275B2E"/>
    <w:rsid w:val="0028076E"/>
    <w:rsid w:val="00280F1C"/>
    <w:rsid w:val="00284C4D"/>
    <w:rsid w:val="00294548"/>
    <w:rsid w:val="0029692B"/>
    <w:rsid w:val="00297622"/>
    <w:rsid w:val="002A4D64"/>
    <w:rsid w:val="002B4720"/>
    <w:rsid w:val="002C10A9"/>
    <w:rsid w:val="002C38A7"/>
    <w:rsid w:val="002C507A"/>
    <w:rsid w:val="002C5A21"/>
    <w:rsid w:val="002D47D5"/>
    <w:rsid w:val="002F06DF"/>
    <w:rsid w:val="00301929"/>
    <w:rsid w:val="00303C70"/>
    <w:rsid w:val="0031540F"/>
    <w:rsid w:val="00315D53"/>
    <w:rsid w:val="00320CDE"/>
    <w:rsid w:val="00321826"/>
    <w:rsid w:val="00324D27"/>
    <w:rsid w:val="003271AA"/>
    <w:rsid w:val="003349FB"/>
    <w:rsid w:val="0034145D"/>
    <w:rsid w:val="00356FE5"/>
    <w:rsid w:val="00360BA2"/>
    <w:rsid w:val="00361CD2"/>
    <w:rsid w:val="00362976"/>
    <w:rsid w:val="00367411"/>
    <w:rsid w:val="00371699"/>
    <w:rsid w:val="00372D3F"/>
    <w:rsid w:val="0037473B"/>
    <w:rsid w:val="003748F6"/>
    <w:rsid w:val="00384B63"/>
    <w:rsid w:val="00384C7A"/>
    <w:rsid w:val="003876A9"/>
    <w:rsid w:val="00392375"/>
    <w:rsid w:val="00393F89"/>
    <w:rsid w:val="003969EF"/>
    <w:rsid w:val="003A0C9E"/>
    <w:rsid w:val="003A121C"/>
    <w:rsid w:val="003A1B78"/>
    <w:rsid w:val="003A3937"/>
    <w:rsid w:val="003A5840"/>
    <w:rsid w:val="003A7EFA"/>
    <w:rsid w:val="003B25DD"/>
    <w:rsid w:val="003B3FC0"/>
    <w:rsid w:val="003C1FE7"/>
    <w:rsid w:val="003C434F"/>
    <w:rsid w:val="003C60CC"/>
    <w:rsid w:val="003D647E"/>
    <w:rsid w:val="003E2DFC"/>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84CDB"/>
    <w:rsid w:val="0049112C"/>
    <w:rsid w:val="004930E5"/>
    <w:rsid w:val="004A42EB"/>
    <w:rsid w:val="004A5497"/>
    <w:rsid w:val="004B6B86"/>
    <w:rsid w:val="004C576A"/>
    <w:rsid w:val="004C6D74"/>
    <w:rsid w:val="004C6D8C"/>
    <w:rsid w:val="004D4BFC"/>
    <w:rsid w:val="004F3390"/>
    <w:rsid w:val="0050002C"/>
    <w:rsid w:val="005014A6"/>
    <w:rsid w:val="005108BD"/>
    <w:rsid w:val="00511A00"/>
    <w:rsid w:val="00523E78"/>
    <w:rsid w:val="0052450C"/>
    <w:rsid w:val="005415DF"/>
    <w:rsid w:val="00541D7F"/>
    <w:rsid w:val="00550BB0"/>
    <w:rsid w:val="00570C4E"/>
    <w:rsid w:val="00571D36"/>
    <w:rsid w:val="005828E8"/>
    <w:rsid w:val="00591B2A"/>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319C"/>
    <w:rsid w:val="006062F2"/>
    <w:rsid w:val="0060738E"/>
    <w:rsid w:val="00607EAD"/>
    <w:rsid w:val="006248D5"/>
    <w:rsid w:val="006253D7"/>
    <w:rsid w:val="00625B44"/>
    <w:rsid w:val="00635307"/>
    <w:rsid w:val="0064362D"/>
    <w:rsid w:val="00647CE6"/>
    <w:rsid w:val="00654126"/>
    <w:rsid w:val="00655A37"/>
    <w:rsid w:val="00661756"/>
    <w:rsid w:val="0066357D"/>
    <w:rsid w:val="00666942"/>
    <w:rsid w:val="00666D0A"/>
    <w:rsid w:val="00671BA5"/>
    <w:rsid w:val="00673832"/>
    <w:rsid w:val="00675F35"/>
    <w:rsid w:val="006860BC"/>
    <w:rsid w:val="00686D9C"/>
    <w:rsid w:val="00693800"/>
    <w:rsid w:val="00693E93"/>
    <w:rsid w:val="00694FCB"/>
    <w:rsid w:val="006A005A"/>
    <w:rsid w:val="006A0A56"/>
    <w:rsid w:val="006A41A2"/>
    <w:rsid w:val="006B0C9B"/>
    <w:rsid w:val="006B53C1"/>
    <w:rsid w:val="006C5B3B"/>
    <w:rsid w:val="006D6E32"/>
    <w:rsid w:val="006E7EFD"/>
    <w:rsid w:val="006F0F01"/>
    <w:rsid w:val="006F2074"/>
    <w:rsid w:val="006F25D6"/>
    <w:rsid w:val="00701585"/>
    <w:rsid w:val="00701AB5"/>
    <w:rsid w:val="007048B4"/>
    <w:rsid w:val="00705E7A"/>
    <w:rsid w:val="00707AD1"/>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5A66"/>
    <w:rsid w:val="007F66F6"/>
    <w:rsid w:val="00810416"/>
    <w:rsid w:val="00811961"/>
    <w:rsid w:val="0081474F"/>
    <w:rsid w:val="00814911"/>
    <w:rsid w:val="00814DED"/>
    <w:rsid w:val="008223B0"/>
    <w:rsid w:val="00825652"/>
    <w:rsid w:val="008303C2"/>
    <w:rsid w:val="00830436"/>
    <w:rsid w:val="00832EF4"/>
    <w:rsid w:val="008400FF"/>
    <w:rsid w:val="00842BD8"/>
    <w:rsid w:val="0084353B"/>
    <w:rsid w:val="0084759E"/>
    <w:rsid w:val="00855389"/>
    <w:rsid w:val="00855C6D"/>
    <w:rsid w:val="008666D6"/>
    <w:rsid w:val="00867166"/>
    <w:rsid w:val="0087003F"/>
    <w:rsid w:val="00873E07"/>
    <w:rsid w:val="00874B13"/>
    <w:rsid w:val="00875779"/>
    <w:rsid w:val="008839B6"/>
    <w:rsid w:val="00893B8F"/>
    <w:rsid w:val="00896756"/>
    <w:rsid w:val="008A2114"/>
    <w:rsid w:val="008A32FD"/>
    <w:rsid w:val="008A39DE"/>
    <w:rsid w:val="008C3530"/>
    <w:rsid w:val="008D72D3"/>
    <w:rsid w:val="008E21DF"/>
    <w:rsid w:val="008E790E"/>
    <w:rsid w:val="008E7FD8"/>
    <w:rsid w:val="008F0DE6"/>
    <w:rsid w:val="008F3A06"/>
    <w:rsid w:val="008F5433"/>
    <w:rsid w:val="008F7147"/>
    <w:rsid w:val="00902DFC"/>
    <w:rsid w:val="0091688B"/>
    <w:rsid w:val="009174B8"/>
    <w:rsid w:val="00922C24"/>
    <w:rsid w:val="00930C60"/>
    <w:rsid w:val="0093349B"/>
    <w:rsid w:val="00936392"/>
    <w:rsid w:val="009402C6"/>
    <w:rsid w:val="009442A7"/>
    <w:rsid w:val="00944AB0"/>
    <w:rsid w:val="00957C46"/>
    <w:rsid w:val="00966654"/>
    <w:rsid w:val="0097286B"/>
    <w:rsid w:val="00977C83"/>
    <w:rsid w:val="009810AB"/>
    <w:rsid w:val="00986972"/>
    <w:rsid w:val="00992E81"/>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6399C"/>
    <w:rsid w:val="00A84A12"/>
    <w:rsid w:val="00A8662E"/>
    <w:rsid w:val="00A90FDD"/>
    <w:rsid w:val="00AA38FA"/>
    <w:rsid w:val="00AA4074"/>
    <w:rsid w:val="00AA59DE"/>
    <w:rsid w:val="00AA64E8"/>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1E46"/>
    <w:rsid w:val="00B76873"/>
    <w:rsid w:val="00B769F0"/>
    <w:rsid w:val="00B82079"/>
    <w:rsid w:val="00B82504"/>
    <w:rsid w:val="00B83AA5"/>
    <w:rsid w:val="00B94EA0"/>
    <w:rsid w:val="00B9584A"/>
    <w:rsid w:val="00B97F28"/>
    <w:rsid w:val="00BA5E77"/>
    <w:rsid w:val="00BA647D"/>
    <w:rsid w:val="00BA6FB2"/>
    <w:rsid w:val="00BB0C07"/>
    <w:rsid w:val="00BB1173"/>
    <w:rsid w:val="00BB1266"/>
    <w:rsid w:val="00BB3113"/>
    <w:rsid w:val="00BB3A67"/>
    <w:rsid w:val="00BC11CD"/>
    <w:rsid w:val="00BC1B53"/>
    <w:rsid w:val="00BD0DBB"/>
    <w:rsid w:val="00BD172E"/>
    <w:rsid w:val="00BD297C"/>
    <w:rsid w:val="00BD6F13"/>
    <w:rsid w:val="00BD7AFA"/>
    <w:rsid w:val="00BE276F"/>
    <w:rsid w:val="00BF585A"/>
    <w:rsid w:val="00C0152B"/>
    <w:rsid w:val="00C031C2"/>
    <w:rsid w:val="00C05516"/>
    <w:rsid w:val="00C102B8"/>
    <w:rsid w:val="00C13FDE"/>
    <w:rsid w:val="00C20EFB"/>
    <w:rsid w:val="00C2460A"/>
    <w:rsid w:val="00C25469"/>
    <w:rsid w:val="00C26080"/>
    <w:rsid w:val="00C26866"/>
    <w:rsid w:val="00C27E51"/>
    <w:rsid w:val="00C300BA"/>
    <w:rsid w:val="00C424CA"/>
    <w:rsid w:val="00C449AE"/>
    <w:rsid w:val="00C47DD2"/>
    <w:rsid w:val="00C50354"/>
    <w:rsid w:val="00C553A6"/>
    <w:rsid w:val="00C577E9"/>
    <w:rsid w:val="00C60445"/>
    <w:rsid w:val="00C630F3"/>
    <w:rsid w:val="00C637B0"/>
    <w:rsid w:val="00C70108"/>
    <w:rsid w:val="00C70FB9"/>
    <w:rsid w:val="00C726B0"/>
    <w:rsid w:val="00C73B12"/>
    <w:rsid w:val="00C74527"/>
    <w:rsid w:val="00C77070"/>
    <w:rsid w:val="00C819DD"/>
    <w:rsid w:val="00C83F8A"/>
    <w:rsid w:val="00CA0D23"/>
    <w:rsid w:val="00CA562A"/>
    <w:rsid w:val="00CA575D"/>
    <w:rsid w:val="00CA7083"/>
    <w:rsid w:val="00CB3563"/>
    <w:rsid w:val="00CB7E8C"/>
    <w:rsid w:val="00CC4139"/>
    <w:rsid w:val="00CC4EEC"/>
    <w:rsid w:val="00CE2265"/>
    <w:rsid w:val="00CE3E56"/>
    <w:rsid w:val="00CF2711"/>
    <w:rsid w:val="00CF4442"/>
    <w:rsid w:val="00CF7141"/>
    <w:rsid w:val="00D02F37"/>
    <w:rsid w:val="00D06C89"/>
    <w:rsid w:val="00D24705"/>
    <w:rsid w:val="00D27D2A"/>
    <w:rsid w:val="00D31F52"/>
    <w:rsid w:val="00D32BA4"/>
    <w:rsid w:val="00D32F84"/>
    <w:rsid w:val="00D35267"/>
    <w:rsid w:val="00D466A7"/>
    <w:rsid w:val="00D54794"/>
    <w:rsid w:val="00D61565"/>
    <w:rsid w:val="00D64D61"/>
    <w:rsid w:val="00D73448"/>
    <w:rsid w:val="00D81DA3"/>
    <w:rsid w:val="00D838AB"/>
    <w:rsid w:val="00D903C2"/>
    <w:rsid w:val="00DA1071"/>
    <w:rsid w:val="00DA23D5"/>
    <w:rsid w:val="00DA7A57"/>
    <w:rsid w:val="00DB33C4"/>
    <w:rsid w:val="00DB404D"/>
    <w:rsid w:val="00DB6990"/>
    <w:rsid w:val="00DC1E7F"/>
    <w:rsid w:val="00DC3EFA"/>
    <w:rsid w:val="00DC430A"/>
    <w:rsid w:val="00DC5918"/>
    <w:rsid w:val="00DD0252"/>
    <w:rsid w:val="00DD1CE8"/>
    <w:rsid w:val="00DD4B5A"/>
    <w:rsid w:val="00DD5CE0"/>
    <w:rsid w:val="00DD6E63"/>
    <w:rsid w:val="00DE09A2"/>
    <w:rsid w:val="00DE4E08"/>
    <w:rsid w:val="00DE5A12"/>
    <w:rsid w:val="00DF50BC"/>
    <w:rsid w:val="00DF65EF"/>
    <w:rsid w:val="00E00A95"/>
    <w:rsid w:val="00E3239A"/>
    <w:rsid w:val="00E350BD"/>
    <w:rsid w:val="00E35F58"/>
    <w:rsid w:val="00E43FEF"/>
    <w:rsid w:val="00E45C97"/>
    <w:rsid w:val="00E4614C"/>
    <w:rsid w:val="00E4719F"/>
    <w:rsid w:val="00E54FBB"/>
    <w:rsid w:val="00E555B5"/>
    <w:rsid w:val="00E56EB9"/>
    <w:rsid w:val="00E63B7C"/>
    <w:rsid w:val="00E6590C"/>
    <w:rsid w:val="00E720F7"/>
    <w:rsid w:val="00E73327"/>
    <w:rsid w:val="00E76FA4"/>
    <w:rsid w:val="00E8064F"/>
    <w:rsid w:val="00E85FE1"/>
    <w:rsid w:val="00E91406"/>
    <w:rsid w:val="00EA53BF"/>
    <w:rsid w:val="00EA5C9D"/>
    <w:rsid w:val="00EA6A96"/>
    <w:rsid w:val="00EB4DF8"/>
    <w:rsid w:val="00EC21E0"/>
    <w:rsid w:val="00EC343A"/>
    <w:rsid w:val="00EC4BAF"/>
    <w:rsid w:val="00ED6057"/>
    <w:rsid w:val="00EE35CD"/>
    <w:rsid w:val="00EE3A13"/>
    <w:rsid w:val="00EF0BDA"/>
    <w:rsid w:val="00EF33DB"/>
    <w:rsid w:val="00EF48CC"/>
    <w:rsid w:val="00F07387"/>
    <w:rsid w:val="00F20158"/>
    <w:rsid w:val="00F32EA9"/>
    <w:rsid w:val="00F346D8"/>
    <w:rsid w:val="00F36B4F"/>
    <w:rsid w:val="00F3745E"/>
    <w:rsid w:val="00F4071C"/>
    <w:rsid w:val="00F47756"/>
    <w:rsid w:val="00F506FD"/>
    <w:rsid w:val="00F5458E"/>
    <w:rsid w:val="00F56838"/>
    <w:rsid w:val="00F61388"/>
    <w:rsid w:val="00F72CAB"/>
    <w:rsid w:val="00F84D6B"/>
    <w:rsid w:val="00F84FB5"/>
    <w:rsid w:val="00F93153"/>
    <w:rsid w:val="00FA2539"/>
    <w:rsid w:val="00FB0275"/>
    <w:rsid w:val="00FB284F"/>
    <w:rsid w:val="00FD14F4"/>
    <w:rsid w:val="00FD17E9"/>
    <w:rsid w:val="00FD4352"/>
    <w:rsid w:val="00FE01F4"/>
    <w:rsid w:val="00FE09EF"/>
    <w:rsid w:val="00FE4445"/>
    <w:rsid w:val="00FE64EC"/>
    <w:rsid w:val="00FF33DF"/>
    <w:rsid w:val="00FF473E"/>
    <w:rsid w:val="00FF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398678228">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786436292">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08626108">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com.tm/ru/info/5503/gk-turkmennebit-povtorno-obyavlyaet-tender-na-zakupku-himicheskoi-produkc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3</cp:revision>
  <dcterms:created xsi:type="dcterms:W3CDTF">2022-03-22T05:49:00Z</dcterms:created>
  <dcterms:modified xsi:type="dcterms:W3CDTF">2022-03-22T05:52:00Z</dcterms:modified>
</cp:coreProperties>
</file>